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36"/>
          <w:szCs w:val="36"/>
        </w:rPr>
      </w:pPr>
      <w:r>
        <w:rPr>
          <w:rFonts w:hint="eastAsia" w:ascii="方正小标宋简体" w:eastAsia="方正小标宋简体"/>
          <w:sz w:val="36"/>
          <w:szCs w:val="36"/>
        </w:rPr>
        <w:t>中国民族医药协会团体标准《瑶浴病房建设与管理指南》编制说明（征求意见稿）</w:t>
      </w:r>
    </w:p>
    <w:p>
      <w:pPr>
        <w:spacing w:before="156" w:beforeLines="50" w:after="156" w:afterLines="50"/>
        <w:jc w:val="left"/>
        <w:rPr>
          <w:rFonts w:ascii="黑体" w:hAnsi="黑体" w:eastAsia="黑体"/>
          <w:sz w:val="28"/>
          <w:szCs w:val="28"/>
        </w:rPr>
      </w:pPr>
      <w:r>
        <w:rPr>
          <w:rFonts w:hint="eastAsia" w:ascii="黑体" w:hAnsi="黑体" w:eastAsia="黑体"/>
          <w:sz w:val="28"/>
          <w:szCs w:val="28"/>
        </w:rPr>
        <w:t>一、任务来源</w:t>
      </w:r>
    </w:p>
    <w:p>
      <w:pPr>
        <w:pStyle w:val="6"/>
        <w:spacing w:line="560" w:lineRule="exact"/>
        <w:ind w:left="0" w:leftChars="0" w:firstLine="560"/>
        <w:jc w:val="left"/>
        <w:rPr>
          <w:rFonts w:ascii="仿宋_GB2312" w:eastAsia="仿宋_GB2312" w:hAnsiTheme="minorEastAsia" w:cstheme="minorBidi"/>
          <w:sz w:val="28"/>
          <w:szCs w:val="28"/>
        </w:rPr>
      </w:pPr>
      <w:r>
        <w:rPr>
          <w:rFonts w:hint="eastAsia" w:ascii="仿宋_GB2312" w:eastAsia="仿宋_GB2312" w:hAnsiTheme="minorEastAsia" w:cstheme="minorBidi"/>
          <w:sz w:val="28"/>
          <w:szCs w:val="28"/>
        </w:rPr>
        <w:t>标准化是瑶浴事业发展的一项基础性、战略性、全局性工作，是瑶浴事业发展的技术支撑，是推进瑶浴行业治理体系和治理能力现代化的基础性制度。瑶浴领域标准是指瑶浴领域需要统一的技术要求，标准是科技成果的最高表现形式，具有权威性、先进性、客观性和效率性。</w:t>
      </w:r>
    </w:p>
    <w:p>
      <w:pPr>
        <w:pStyle w:val="6"/>
        <w:spacing w:line="560" w:lineRule="exact"/>
        <w:ind w:left="0" w:leftChars="0" w:firstLine="560"/>
        <w:jc w:val="left"/>
        <w:rPr>
          <w:rFonts w:ascii="仿宋_GB2312" w:eastAsia="仿宋_GB2312" w:hAnsiTheme="minorEastAsia" w:cstheme="minorBidi"/>
          <w:sz w:val="28"/>
          <w:szCs w:val="28"/>
        </w:rPr>
      </w:pPr>
      <w:r>
        <w:rPr>
          <w:rFonts w:hint="eastAsia" w:ascii="仿宋_GB2312" w:eastAsia="仿宋_GB2312" w:hAnsiTheme="minorEastAsia" w:cstheme="minorBidi"/>
          <w:sz w:val="28"/>
          <w:szCs w:val="28"/>
        </w:rPr>
        <w:t>瑶族药浴是瑶族人民智慧结晶的代表之一。贵州从江的过山瑶，每家都有一个用杉木做成的高1ｍ、直径为0.8ｍ 的木桶，因为体型比较大，又称庞桶，因此瑶族药浴称为“庞桶药浴”，又因为木桶外观呈黄色，也称“黄桶药浴”。泡澡所用的药材都是妇女亲自上山采的新鲜的天然植物，瑶浴有100多种药方，可以治多种疾病，祛风除湿、活血化瘀、排汗解毒，瑶族同胞每天都泡，可见瑶浴在瑶族人民生活中的地位之重要。鉴于其奇特的功效，瑶族的药浴，与芬兰的桑拿浴、土耳其的蒸汽浴共同被誉为世界上优秀的三大沐浴文化，于2008年6月，瑶浴被列入第二批国家非物质文化保护遗产名录。瑶医药浴是采用大瑶山天然的中草药和独特的瑶医药方研制而成。其特点是通过复方用药，发挥瑶族独特的瑶医药方（祖传秘方）进行调理与治疗。其目的是通过〝药浴”以达到预防疾病、养生保健、延年益寿的目的。</w:t>
      </w:r>
    </w:p>
    <w:p>
      <w:pPr>
        <w:pStyle w:val="6"/>
        <w:spacing w:line="560" w:lineRule="exact"/>
        <w:ind w:left="0" w:leftChars="0" w:firstLine="560"/>
        <w:jc w:val="left"/>
        <w:rPr>
          <w:rFonts w:ascii="仿宋_GB2312" w:eastAsia="仿宋_GB2312" w:hAnsiTheme="minorEastAsia" w:cstheme="minorBidi"/>
          <w:sz w:val="28"/>
          <w:szCs w:val="28"/>
        </w:rPr>
      </w:pPr>
      <w:r>
        <w:rPr>
          <w:rFonts w:hint="eastAsia" w:ascii="仿宋_GB2312" w:eastAsia="仿宋_GB2312" w:hAnsiTheme="minorEastAsia" w:cstheme="minorBidi"/>
          <w:sz w:val="28"/>
          <w:szCs w:val="28"/>
        </w:rPr>
        <w:t>为全面贯彻落实习近平总书记关于中医药发展重要论述精神，落实《中医药发展战略规划纲要(2016-2030年)》《关于促进中医药传承创新发展的意见》等文件精神，制定满足民族医药行业和创新需求的团体标准，促进民族医药标准化发展进程，由从江县中医医院牵头申报中国民族医药协会团体标准《瑶浴病房建设与管理指南》。</w:t>
      </w:r>
    </w:p>
    <w:p>
      <w:pPr>
        <w:pStyle w:val="11"/>
        <w:numPr>
          <w:ilvl w:val="0"/>
          <w:numId w:val="1"/>
        </w:numPr>
        <w:spacing w:before="156" w:beforeLines="50" w:after="156" w:afterLines="50"/>
        <w:ind w:firstLineChars="0"/>
        <w:jc w:val="left"/>
        <w:rPr>
          <w:rFonts w:ascii="黑体" w:hAnsi="黑体" w:eastAsia="黑体"/>
          <w:sz w:val="28"/>
          <w:szCs w:val="28"/>
        </w:rPr>
      </w:pPr>
      <w:r>
        <w:rPr>
          <w:rFonts w:hint="eastAsia" w:ascii="黑体" w:hAnsi="黑体" w:eastAsia="黑体"/>
          <w:sz w:val="28"/>
          <w:szCs w:val="28"/>
        </w:rPr>
        <w:t>制定标准的必要性与意义</w:t>
      </w:r>
    </w:p>
    <w:p>
      <w:pPr>
        <w:spacing w:line="560" w:lineRule="exact"/>
        <w:ind w:firstLine="448"/>
        <w:rPr>
          <w:rFonts w:ascii="仿宋_GB2312" w:eastAsia="仿宋_GB2312" w:hAnsiTheme="minorEastAsia"/>
          <w:sz w:val="28"/>
          <w:szCs w:val="28"/>
        </w:rPr>
      </w:pPr>
      <w:r>
        <w:rPr>
          <w:rFonts w:hint="eastAsia" w:ascii="仿宋_GB2312" w:eastAsia="仿宋_GB2312" w:hAnsiTheme="minorEastAsia"/>
          <w:sz w:val="28"/>
          <w:szCs w:val="28"/>
        </w:rPr>
        <w:t>随着民族医药事业的蓬勃发展，民族医药适宜技术不断普及，瑶浴疗法也越来越受患者青睐。瑶医药浴又称百草药浴，是</w:t>
      </w:r>
      <w:r>
        <w:rPr>
          <w:rFonts w:hint="eastAsia" w:ascii="仿宋_GB2312" w:eastAsia="仿宋_GB2312" w:hAnsiTheme="minorEastAsia"/>
          <w:sz w:val="28"/>
          <w:szCs w:val="28"/>
          <w:lang w:val="en-US" w:eastAsia="zh-CN"/>
        </w:rPr>
        <w:t>将</w:t>
      </w:r>
      <w:r>
        <w:rPr>
          <w:rFonts w:hint="eastAsia" w:ascii="仿宋_GB2312" w:eastAsia="仿宋_GB2312" w:hAnsiTheme="minorEastAsia"/>
          <w:sz w:val="28"/>
          <w:szCs w:val="28"/>
        </w:rPr>
        <w:t>采集的瑶药进行煎煮，过滤取药汁，人体浸泡于药汤中，通过人体毛细血管和经络传遍全身，而达到保健和防治疾病的作用。瑶浴疗法具有预防、治疗、康复、保健等作用，适用于内、外、妇、儿、五官科等疾病，瑶浴疗法安全、有效且无毒副作用，深受广大群众的欢迎。当前在瑶浴病房设置、瑶浴疗法人才培养、场地设施配置、瑶浴疗法应用规范等方面均缺乏统一建设与管理标准，制约了瑶浴行业的高质量发展。</w:t>
      </w:r>
    </w:p>
    <w:p>
      <w:pPr>
        <w:spacing w:line="560" w:lineRule="exact"/>
        <w:ind w:firstLine="448"/>
        <w:rPr>
          <w:rFonts w:ascii="仿宋_GB2312" w:eastAsia="仿宋_GB2312" w:hAnsiTheme="minorEastAsia"/>
          <w:sz w:val="28"/>
          <w:szCs w:val="28"/>
        </w:rPr>
      </w:pPr>
      <w:r>
        <w:rPr>
          <w:rFonts w:hint="eastAsia" w:ascii="仿宋_GB2312" w:eastAsia="仿宋_GB2312" w:hAnsiTheme="minorEastAsia"/>
          <w:sz w:val="28"/>
          <w:szCs w:val="28"/>
        </w:rPr>
        <w:t>为进一步规范瑶浴病房的建设与管理，提高瑶浴病房服务能力与水平，满足人民群众日益增长对瑶浴疗法需求，在系统总结相关门诊建设与管理经验的基础上，采用文献研究、实地调研等多种研究方法，根据《医疗机构管理条例》及《中共中央国务院关于促进中医药传承创新发展的意见》等相关法律法规，制定本文件。</w:t>
      </w:r>
    </w:p>
    <w:p>
      <w:pPr>
        <w:spacing w:line="560" w:lineRule="exact"/>
        <w:ind w:firstLine="448"/>
        <w:rPr>
          <w:rFonts w:ascii="仿宋_GB2312" w:eastAsia="仿宋_GB2312" w:hAnsiTheme="minorEastAsia"/>
          <w:sz w:val="28"/>
          <w:szCs w:val="28"/>
        </w:rPr>
      </w:pPr>
      <w:r>
        <w:rPr>
          <w:rFonts w:hint="eastAsia" w:ascii="仿宋_GB2312" w:eastAsia="仿宋_GB2312" w:hAnsiTheme="minorEastAsia"/>
          <w:sz w:val="28"/>
          <w:szCs w:val="28"/>
        </w:rPr>
        <w:t>本文件旨在规范瑶浴病房建设与管理，拓展瑶浴疗法服务能力，为人民群众提供安全、有效的瑶浴疗法，同时为行业主管部门科学评价瑶浴病房服务能力提供参考。</w:t>
      </w:r>
    </w:p>
    <w:p>
      <w:pPr>
        <w:spacing w:line="560" w:lineRule="exact"/>
        <w:ind w:firstLine="560" w:firstLineChars="200"/>
        <w:rPr>
          <w:rFonts w:ascii="黑体" w:hAnsi="黑体" w:eastAsia="黑体"/>
          <w:sz w:val="28"/>
          <w:szCs w:val="28"/>
        </w:rPr>
      </w:pPr>
      <w:r>
        <w:rPr>
          <w:rFonts w:hint="eastAsia" w:ascii="黑体" w:hAnsi="黑体" w:eastAsia="黑体"/>
          <w:sz w:val="28"/>
          <w:szCs w:val="28"/>
        </w:rPr>
        <w:t>三</w:t>
      </w:r>
      <w:r>
        <w:rPr>
          <w:rFonts w:hint="eastAsia" w:ascii="仿宋_GB2312" w:eastAsia="仿宋_GB2312" w:hAnsiTheme="minorEastAsia"/>
          <w:sz w:val="28"/>
          <w:szCs w:val="28"/>
        </w:rPr>
        <w:t>、</w:t>
      </w:r>
      <w:r>
        <w:rPr>
          <w:rFonts w:hint="eastAsia" w:ascii="黑体" w:hAnsi="黑体" w:eastAsia="黑体"/>
          <w:sz w:val="28"/>
          <w:szCs w:val="28"/>
        </w:rPr>
        <w:t>主要工作过程</w:t>
      </w:r>
    </w:p>
    <w:p>
      <w:pPr>
        <w:pStyle w:val="11"/>
        <w:numPr>
          <w:ilvl w:val="0"/>
          <w:numId w:val="2"/>
        </w:numPr>
        <w:spacing w:after="156" w:afterLines="50"/>
        <w:ind w:left="420" w:leftChars="200" w:firstLine="0" w:firstLineChars="0"/>
        <w:rPr>
          <w:rFonts w:ascii="楷体_GB2312" w:hAnsi="黑体" w:eastAsia="楷体_GB2312"/>
          <w:sz w:val="28"/>
          <w:szCs w:val="28"/>
        </w:rPr>
      </w:pPr>
      <w:r>
        <w:rPr>
          <w:rFonts w:hint="eastAsia" w:ascii="楷体_GB2312" w:hAnsi="黑体" w:eastAsia="楷体_GB2312"/>
          <w:sz w:val="28"/>
          <w:szCs w:val="28"/>
        </w:rPr>
        <w:t>前期标准预研</w:t>
      </w:r>
    </w:p>
    <w:p>
      <w:pPr>
        <w:pStyle w:val="11"/>
        <w:spacing w:line="360" w:lineRule="auto"/>
        <w:ind w:firstLine="560"/>
        <w:jc w:val="left"/>
        <w:rPr>
          <w:rFonts w:ascii="仿宋_GB2312" w:eastAsia="仿宋_GB2312" w:hAnsiTheme="minorEastAsia"/>
          <w:sz w:val="28"/>
          <w:szCs w:val="28"/>
        </w:rPr>
      </w:pPr>
      <w:r>
        <w:rPr>
          <w:rFonts w:hint="eastAsia" w:ascii="仿宋_GB2312" w:eastAsia="仿宋_GB2312" w:hAnsiTheme="minorEastAsia"/>
          <w:sz w:val="28"/>
          <w:szCs w:val="28"/>
        </w:rPr>
        <w:t>2023年10月，从江县中医医院、黔南州中医医院、贵州云中医院、从江县加鸠镇卫生院、贵州中医药大学第一附属医院、贵州中医药大学第二附属医院、贵州省人民医院成立标准编制工作组，确定了主要起草人及小组成员工作职责，并确定了标准编制计划，正式开展前期资料收集与研究工作，通过对文献及相关标准检索查新，梳理国内外《瑶浴病房建设与管理指南》研究情况，探讨标准立项和基本结构要点，为</w:t>
      </w:r>
      <w:r>
        <w:rPr>
          <w:rFonts w:hint="eastAsia" w:ascii="仿宋_GB2312" w:eastAsia="仿宋_GB2312" w:hAnsiTheme="minorEastAsia"/>
          <w:sz w:val="28"/>
          <w:szCs w:val="28"/>
          <w:highlight w:val="none"/>
        </w:rPr>
        <w:t>标准</w:t>
      </w:r>
      <w:r>
        <w:rPr>
          <w:rFonts w:hint="eastAsia" w:ascii="仿宋_GB2312" w:eastAsia="仿宋_GB2312" w:hAnsiTheme="minorEastAsia"/>
          <w:sz w:val="28"/>
          <w:szCs w:val="28"/>
          <w:highlight w:val="none"/>
          <w:lang w:val="en-US" w:eastAsia="zh-CN"/>
        </w:rPr>
        <w:t>编制</w:t>
      </w:r>
      <w:r>
        <w:rPr>
          <w:rFonts w:hint="eastAsia" w:ascii="仿宋_GB2312" w:eastAsia="仿宋_GB2312" w:hAnsiTheme="minorEastAsia"/>
          <w:sz w:val="28"/>
          <w:szCs w:val="28"/>
        </w:rPr>
        <w:t>打下了良好的基础。</w:t>
      </w:r>
    </w:p>
    <w:p>
      <w:pPr>
        <w:pStyle w:val="11"/>
        <w:numPr>
          <w:ilvl w:val="0"/>
          <w:numId w:val="2"/>
        </w:numPr>
        <w:spacing w:after="156" w:afterLines="50"/>
        <w:ind w:left="420" w:leftChars="200" w:firstLine="0" w:firstLineChars="0"/>
        <w:rPr>
          <w:rFonts w:ascii="楷体_GB2312" w:hAnsi="黑体" w:eastAsia="楷体_GB2312"/>
          <w:sz w:val="28"/>
          <w:szCs w:val="28"/>
        </w:rPr>
      </w:pPr>
      <w:r>
        <w:rPr>
          <w:rFonts w:hint="eastAsia" w:ascii="楷体_GB2312" w:hAnsi="黑体" w:eastAsia="楷体_GB2312"/>
          <w:sz w:val="28"/>
          <w:szCs w:val="28"/>
        </w:rPr>
        <w:t>标准立项</w:t>
      </w:r>
    </w:p>
    <w:p>
      <w:pPr>
        <w:pStyle w:val="11"/>
        <w:spacing w:line="360" w:lineRule="auto"/>
        <w:ind w:firstLine="560"/>
        <w:jc w:val="left"/>
        <w:rPr>
          <w:rFonts w:ascii="仿宋_GB2312" w:eastAsia="仿宋_GB2312" w:hAnsiTheme="minorEastAsia"/>
          <w:sz w:val="28"/>
          <w:szCs w:val="28"/>
        </w:rPr>
      </w:pPr>
      <w:r>
        <w:rPr>
          <w:rFonts w:hint="eastAsia" w:ascii="仿宋_GB2312" w:eastAsia="仿宋_GB2312" w:hAnsiTheme="minorEastAsia"/>
          <w:sz w:val="28"/>
          <w:szCs w:val="28"/>
        </w:rPr>
        <w:t>2024年4月，标准编制工作组《瑶浴病房建设与管理指南》多次进行讨论，确定了标准的适用范围、框架及关键点要求，并按要求填写了团体标准制修订立项申请书，编制了《瑶浴病房建设与管理指南》团体标准初稿及可行性分析报告，并向中国民族医药协会提交立项申请。</w:t>
      </w:r>
    </w:p>
    <w:p>
      <w:pPr>
        <w:pStyle w:val="11"/>
        <w:spacing w:line="360" w:lineRule="auto"/>
        <w:ind w:firstLine="560"/>
        <w:jc w:val="left"/>
        <w:rPr>
          <w:rFonts w:ascii="仿宋_GB2312" w:eastAsia="仿宋_GB2312" w:hAnsiTheme="minorEastAsia"/>
          <w:sz w:val="28"/>
          <w:szCs w:val="28"/>
        </w:rPr>
      </w:pPr>
      <w:r>
        <w:rPr>
          <w:rFonts w:hint="eastAsia" w:ascii="仿宋_GB2312" w:eastAsia="仿宋_GB2312" w:hAnsiTheme="minorEastAsia"/>
          <w:sz w:val="28"/>
          <w:szCs w:val="28"/>
        </w:rPr>
        <w:t>经中国民族医药协会团标委审查及相关专家评审后，于2024年5月8日正式立项成功。</w:t>
      </w:r>
    </w:p>
    <w:p>
      <w:pPr>
        <w:pStyle w:val="11"/>
        <w:numPr>
          <w:ilvl w:val="0"/>
          <w:numId w:val="2"/>
        </w:numPr>
        <w:spacing w:after="156" w:afterLines="50"/>
        <w:ind w:left="420" w:leftChars="200" w:firstLine="0" w:firstLineChars="0"/>
        <w:rPr>
          <w:rFonts w:ascii="楷体_GB2312" w:hAnsi="黑体" w:eastAsia="楷体_GB2312"/>
          <w:sz w:val="28"/>
          <w:szCs w:val="28"/>
        </w:rPr>
      </w:pPr>
      <w:r>
        <w:rPr>
          <w:rFonts w:hint="eastAsia" w:ascii="楷体_GB2312" w:hAnsi="黑体" w:eastAsia="楷体_GB2312"/>
          <w:sz w:val="28"/>
          <w:szCs w:val="28"/>
        </w:rPr>
        <w:t>标准起草过程</w:t>
      </w:r>
    </w:p>
    <w:p>
      <w:pPr>
        <w:pStyle w:val="11"/>
        <w:spacing w:line="360" w:lineRule="auto"/>
        <w:ind w:firstLine="560"/>
        <w:jc w:val="left"/>
        <w:rPr>
          <w:rFonts w:ascii="仿宋_GB2312" w:eastAsia="仿宋_GB2312" w:hAnsiTheme="minorEastAsia"/>
          <w:sz w:val="28"/>
          <w:szCs w:val="28"/>
        </w:rPr>
      </w:pPr>
      <w:r>
        <w:rPr>
          <w:rFonts w:hint="eastAsia" w:ascii="仿宋_GB2312" w:eastAsia="仿宋_GB2312" w:hAnsiTheme="minorEastAsia"/>
          <w:sz w:val="28"/>
          <w:szCs w:val="28"/>
        </w:rPr>
        <w:t>2024年5月，收到标准成功立项公告后，标准编制工作组第一时间将团标委专家的立项评审意见进行汇总，并与相关专家及研发技术人员通过线上沟通，线下讨论等形式对团标委的意见进行分析采纳，并对标准草案进一步完善。</w:t>
      </w:r>
    </w:p>
    <w:p>
      <w:pPr>
        <w:pStyle w:val="11"/>
        <w:spacing w:line="360" w:lineRule="auto"/>
        <w:ind w:firstLine="560"/>
        <w:jc w:val="left"/>
        <w:rPr>
          <w:rFonts w:ascii="仿宋_GB2312" w:eastAsia="仿宋_GB2312" w:hAnsiTheme="minorEastAsia"/>
          <w:sz w:val="28"/>
          <w:szCs w:val="28"/>
        </w:rPr>
      </w:pPr>
      <w:r>
        <w:rPr>
          <w:rFonts w:hint="eastAsia" w:ascii="仿宋_GB2312" w:eastAsia="仿宋_GB2312" w:hAnsiTheme="minorEastAsia"/>
          <w:sz w:val="28"/>
          <w:szCs w:val="28"/>
        </w:rPr>
        <w:t>标准编制工作组在从江县中医医院召开了</w:t>
      </w:r>
      <w:r>
        <w:rPr>
          <w:rFonts w:ascii="仿宋_GB2312" w:eastAsia="仿宋_GB2312" w:hAnsiTheme="minorEastAsia"/>
          <w:sz w:val="28"/>
          <w:szCs w:val="28"/>
        </w:rPr>
        <w:t>202</w:t>
      </w:r>
      <w:r>
        <w:rPr>
          <w:rFonts w:hint="eastAsia" w:ascii="仿宋_GB2312" w:eastAsia="仿宋_GB2312" w:hAnsiTheme="minorEastAsia"/>
          <w:sz w:val="28"/>
          <w:szCs w:val="28"/>
        </w:rPr>
        <w:t>4年度中国民族医药协会团体标准《瑶浴病房建设与管理指南》专家起草论证会，</w:t>
      </w:r>
      <w:r>
        <w:rPr>
          <w:rFonts w:hint="eastAsia" w:ascii="仿宋_GB2312" w:eastAsia="仿宋_GB2312" w:hAnsiTheme="minorEastAsia"/>
          <w:sz w:val="28"/>
          <w:szCs w:val="28"/>
          <w:highlight w:val="none"/>
        </w:rPr>
        <w:t>贵州</w:t>
      </w:r>
      <w:r>
        <w:rPr>
          <w:rFonts w:hint="eastAsia" w:ascii="仿宋_GB2312" w:eastAsia="仿宋_GB2312" w:hAnsiTheme="minorEastAsia"/>
          <w:sz w:val="28"/>
          <w:szCs w:val="28"/>
        </w:rPr>
        <w:t>中医药大学第一附属医院苗医药科主任、硕士生导师、主任医师夏景富，中国中医药信息学会全科医学分会副会长兼秘书长、从江县中医医院瑶医药标准化研究中心及侗医药标准化研究中心特聘指导专家曾曼杰，从江县卫生健康局副局长、副主任医师杨蕙</w:t>
      </w:r>
      <w:r>
        <w:rPr>
          <w:rFonts w:hint="eastAsia" w:ascii="仿宋_GB2312" w:eastAsia="仿宋_GB2312" w:hAnsiTheme="minorEastAsia"/>
          <w:sz w:val="28"/>
          <w:szCs w:val="28"/>
          <w:highlight w:val="none"/>
          <w:lang w:eastAsia="zh-CN"/>
        </w:rPr>
        <w:t>，</w:t>
      </w:r>
      <w:r>
        <w:rPr>
          <w:rFonts w:hint="eastAsia" w:ascii="仿宋_GB2312" w:eastAsia="仿宋_GB2312" w:hAnsiTheme="minorEastAsia"/>
          <w:sz w:val="28"/>
          <w:szCs w:val="28"/>
        </w:rPr>
        <w:t>贵州中医药大学第一附属医院苗医药科护士长、副主任护师吴海燕，贵州中医药大学第一附属医院副主任医师龙明豪</w:t>
      </w:r>
      <w:r>
        <w:rPr>
          <w:rFonts w:hint="eastAsia" w:ascii="仿宋_GB2312" w:eastAsia="仿宋_GB2312" w:hAnsiTheme="minorEastAsia"/>
          <w:sz w:val="28"/>
          <w:szCs w:val="28"/>
          <w:highlight w:val="none"/>
        </w:rPr>
        <w:t>、</w:t>
      </w:r>
      <w:r>
        <w:rPr>
          <w:rFonts w:hint="eastAsia" w:ascii="仿宋_GB2312" w:eastAsia="仿宋_GB2312" w:hAnsiTheme="minorEastAsia"/>
          <w:sz w:val="28"/>
          <w:szCs w:val="28"/>
        </w:rPr>
        <w:t>德江县中医院主任医师曾权，德江县中医院主任医师王朝凤，西山镇高脚村瑶医杨富坤以及从江县中医医院党委书记杨正兰以及医院班子成员等参加起草论证。后期项目多次开展论证，根据相关法律法规及标准的要求对《瑶浴病房建设与管理指南》团体标准的具体指标内容进行了讨论，形成了《瑶浴病房建设与管理指南》团体标准和编制说明的征求意见稿。</w:t>
      </w:r>
    </w:p>
    <w:p>
      <w:pPr>
        <w:pStyle w:val="11"/>
        <w:numPr>
          <w:ilvl w:val="0"/>
          <w:numId w:val="3"/>
        </w:numPr>
        <w:spacing w:before="156" w:beforeLines="50" w:after="156" w:afterLines="50"/>
        <w:ind w:firstLineChars="0"/>
        <w:jc w:val="left"/>
        <w:rPr>
          <w:rFonts w:ascii="黑体" w:hAnsi="黑体" w:eastAsia="黑体"/>
          <w:sz w:val="28"/>
          <w:szCs w:val="28"/>
        </w:rPr>
      </w:pPr>
      <w:r>
        <w:rPr>
          <w:rFonts w:hint="eastAsia" w:ascii="黑体" w:hAnsi="黑体" w:eastAsia="黑体"/>
          <w:sz w:val="28"/>
          <w:szCs w:val="28"/>
        </w:rPr>
        <w:t>主要参编单位及人员</w:t>
      </w:r>
    </w:p>
    <w:p>
      <w:pPr>
        <w:pStyle w:val="11"/>
        <w:numPr>
          <w:ilvl w:val="0"/>
          <w:numId w:val="4"/>
        </w:numPr>
        <w:spacing w:after="156" w:afterLines="50"/>
        <w:ind w:firstLineChars="0"/>
        <w:rPr>
          <w:rFonts w:ascii="楷体_GB2312" w:hAnsi="黑体" w:eastAsia="楷体_GB2312"/>
          <w:sz w:val="28"/>
          <w:szCs w:val="28"/>
        </w:rPr>
      </w:pPr>
      <w:r>
        <w:rPr>
          <w:rFonts w:hint="eastAsia" w:ascii="楷体_GB2312" w:hAnsi="黑体" w:eastAsia="楷体_GB2312"/>
          <w:sz w:val="28"/>
          <w:szCs w:val="28"/>
        </w:rPr>
        <w:t>主要参编单位</w:t>
      </w:r>
    </w:p>
    <w:p>
      <w:pPr>
        <w:pStyle w:val="11"/>
        <w:spacing w:line="360" w:lineRule="auto"/>
        <w:ind w:firstLine="0" w:firstLineChars="0"/>
        <w:jc w:val="left"/>
        <w:rPr>
          <w:rFonts w:hint="eastAsia" w:ascii="仿宋_GB2312" w:eastAsia="仿宋_GB2312" w:hAnsiTheme="minorEastAsia"/>
          <w:sz w:val="28"/>
          <w:szCs w:val="28"/>
          <w:lang w:eastAsia="zh-CN"/>
        </w:rPr>
      </w:pPr>
      <w:r>
        <w:rPr>
          <w:rFonts w:hint="eastAsia" w:ascii="仿宋_GB2312" w:eastAsia="仿宋_GB2312" w:hAnsiTheme="minorEastAsia"/>
          <w:sz w:val="28"/>
          <w:szCs w:val="28"/>
        </w:rPr>
        <w:t xml:space="preserve">    从江县中医医院、黔南州中医医院、贵州云中医院、从江县加鸠镇卫生院、贵州中医药大学第一附属医院、贵州中医药大学第二附属医院、贵州省人民医院</w:t>
      </w:r>
      <w:r>
        <w:rPr>
          <w:rFonts w:hint="eastAsia" w:ascii="仿宋_GB2312" w:eastAsia="仿宋_GB2312" w:hAnsiTheme="minorEastAsia"/>
          <w:sz w:val="28"/>
          <w:szCs w:val="28"/>
          <w:lang w:eastAsia="zh-CN"/>
        </w:rPr>
        <w:t>。</w:t>
      </w:r>
    </w:p>
    <w:p>
      <w:pPr>
        <w:pStyle w:val="11"/>
        <w:numPr>
          <w:ilvl w:val="0"/>
          <w:numId w:val="4"/>
        </w:numPr>
        <w:spacing w:after="156" w:afterLines="50"/>
        <w:ind w:firstLineChars="0"/>
        <w:rPr>
          <w:rFonts w:ascii="楷体_GB2312" w:hAnsi="黑体" w:eastAsia="楷体_GB2312"/>
          <w:sz w:val="28"/>
          <w:szCs w:val="28"/>
        </w:rPr>
      </w:pPr>
      <w:r>
        <w:rPr>
          <w:rFonts w:hint="eastAsia" w:ascii="楷体_GB2312" w:hAnsi="黑体" w:eastAsia="楷体_GB2312"/>
          <w:sz w:val="28"/>
          <w:szCs w:val="28"/>
        </w:rPr>
        <w:t>编制组成员及职责</w:t>
      </w:r>
    </w:p>
    <w:p>
      <w:pPr>
        <w:spacing w:line="360" w:lineRule="auto"/>
        <w:jc w:val="left"/>
        <w:rPr>
          <w:rFonts w:ascii="仿宋_GB2312" w:eastAsia="仿宋_GB2312" w:hAnsiTheme="minorEastAsia"/>
          <w:sz w:val="28"/>
          <w:szCs w:val="28"/>
        </w:rPr>
      </w:pPr>
      <w:r>
        <w:rPr>
          <w:rFonts w:hint="eastAsia" w:ascii="仿宋_GB2312" w:eastAsia="仿宋_GB2312" w:hAnsiTheme="minorEastAsia"/>
          <w:sz w:val="28"/>
          <w:szCs w:val="28"/>
        </w:rPr>
        <w:t xml:space="preserve">     标准编制组成员及职责见表1。</w:t>
      </w:r>
    </w:p>
    <w:p>
      <w:pPr>
        <w:widowControl/>
        <w:tabs>
          <w:tab w:val="left" w:pos="360"/>
        </w:tabs>
        <w:spacing w:before="156" w:beforeLines="50" w:after="156" w:afterLines="50"/>
        <w:jc w:val="center"/>
        <w:rPr>
          <w:rFonts w:ascii="黑体" w:hAnsi="Times New Roman" w:eastAsia="黑体" w:cs="Times New Roman"/>
          <w:kern w:val="0"/>
          <w:szCs w:val="21"/>
        </w:rPr>
      </w:pPr>
      <w:r>
        <w:rPr>
          <w:rFonts w:hint="eastAsia" w:ascii="黑体" w:hAnsi="Times New Roman" w:eastAsia="黑体" w:cs="Times New Roman"/>
          <w:kern w:val="0"/>
          <w:szCs w:val="21"/>
        </w:rPr>
        <w:t>表1 标准编制组成员及职责</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813"/>
        <w:gridCol w:w="956"/>
        <w:gridCol w:w="3907"/>
        <w:gridCol w:w="2846"/>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tblHeader/>
          <w:jc w:val="center"/>
        </w:trPr>
        <w:tc>
          <w:tcPr>
            <w:tcW w:w="477" w:type="pct"/>
            <w:tcBorders>
              <w:top w:val="single" w:color="auto" w:sz="12" w:space="0"/>
              <w:bottom w:val="single" w:color="auto" w:sz="12" w:space="0"/>
            </w:tcBorders>
            <w:vAlign w:val="center"/>
          </w:tcPr>
          <w:p>
            <w:pPr>
              <w:jc w:val="center"/>
              <w:rPr>
                <w:rFonts w:asciiTheme="minorEastAsia" w:hAnsiTheme="minorEastAsia"/>
                <w:b/>
                <w:szCs w:val="21"/>
              </w:rPr>
            </w:pPr>
            <w:r>
              <w:rPr>
                <w:rFonts w:hint="eastAsia" w:asciiTheme="minorEastAsia" w:hAnsiTheme="minorEastAsia"/>
                <w:b/>
                <w:szCs w:val="21"/>
              </w:rPr>
              <w:t>序号</w:t>
            </w:r>
          </w:p>
        </w:tc>
        <w:tc>
          <w:tcPr>
            <w:tcW w:w="561" w:type="pct"/>
            <w:tcBorders>
              <w:top w:val="single" w:color="auto" w:sz="12" w:space="0"/>
              <w:bottom w:val="single" w:color="auto" w:sz="12" w:space="0"/>
            </w:tcBorders>
            <w:vAlign w:val="center"/>
          </w:tcPr>
          <w:p>
            <w:pPr>
              <w:jc w:val="center"/>
              <w:rPr>
                <w:rFonts w:asciiTheme="minorEastAsia" w:hAnsiTheme="minorEastAsia"/>
                <w:b/>
                <w:szCs w:val="21"/>
              </w:rPr>
            </w:pPr>
            <w:r>
              <w:rPr>
                <w:rFonts w:hint="eastAsia" w:asciiTheme="minorEastAsia" w:hAnsiTheme="minorEastAsia"/>
                <w:b/>
                <w:szCs w:val="21"/>
              </w:rPr>
              <w:t>姓名</w:t>
            </w:r>
          </w:p>
        </w:tc>
        <w:tc>
          <w:tcPr>
            <w:tcW w:w="2292" w:type="pct"/>
            <w:tcBorders>
              <w:top w:val="single" w:color="auto" w:sz="12" w:space="0"/>
              <w:bottom w:val="single" w:color="auto" w:sz="12" w:space="0"/>
            </w:tcBorders>
            <w:vAlign w:val="center"/>
          </w:tcPr>
          <w:p>
            <w:pPr>
              <w:jc w:val="center"/>
              <w:rPr>
                <w:rFonts w:asciiTheme="minorEastAsia" w:hAnsiTheme="minorEastAsia"/>
                <w:b/>
                <w:szCs w:val="21"/>
              </w:rPr>
            </w:pPr>
            <w:r>
              <w:rPr>
                <w:rFonts w:hint="eastAsia" w:asciiTheme="minorEastAsia" w:hAnsiTheme="minorEastAsia"/>
                <w:b/>
                <w:szCs w:val="21"/>
              </w:rPr>
              <w:t>单位</w:t>
            </w:r>
          </w:p>
        </w:tc>
        <w:tc>
          <w:tcPr>
            <w:tcW w:w="1669" w:type="pct"/>
            <w:tcBorders>
              <w:top w:val="single" w:color="auto" w:sz="12" w:space="0"/>
              <w:bottom w:val="single" w:color="auto" w:sz="12" w:space="0"/>
            </w:tcBorders>
            <w:vAlign w:val="center"/>
          </w:tcPr>
          <w:p>
            <w:pPr>
              <w:jc w:val="center"/>
              <w:rPr>
                <w:rFonts w:asciiTheme="minorEastAsia" w:hAnsiTheme="minorEastAsia"/>
                <w:b/>
                <w:szCs w:val="21"/>
              </w:rPr>
            </w:pPr>
            <w:r>
              <w:rPr>
                <w:rFonts w:hint="eastAsia" w:asciiTheme="minorEastAsia" w:hAnsiTheme="minorEastAsia"/>
                <w:b/>
                <w:szCs w:val="21"/>
              </w:rPr>
              <w:t>职责</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77" w:type="pct"/>
            <w:tcBorders>
              <w:top w:val="single" w:color="auto" w:sz="12" w:space="0"/>
            </w:tcBorders>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1</w:t>
            </w:r>
          </w:p>
        </w:tc>
        <w:tc>
          <w:tcPr>
            <w:tcW w:w="561" w:type="pct"/>
            <w:tcBorders>
              <w:top w:val="single" w:color="auto" w:sz="12" w:space="0"/>
            </w:tcBorders>
            <w:vAlign w:val="center"/>
          </w:tcPr>
          <w:p>
            <w:pPr>
              <w:jc w:val="center"/>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杨通神</w:t>
            </w:r>
          </w:p>
        </w:tc>
        <w:tc>
          <w:tcPr>
            <w:tcW w:w="2292" w:type="pct"/>
            <w:tcBorders>
              <w:top w:val="single" w:color="auto" w:sz="12" w:space="0"/>
            </w:tcBorders>
            <w:vAlign w:val="center"/>
          </w:tcPr>
          <w:p>
            <w:pPr>
              <w:jc w:val="center"/>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从江县中医医院</w:t>
            </w:r>
          </w:p>
        </w:tc>
        <w:tc>
          <w:tcPr>
            <w:tcW w:w="1669" w:type="pct"/>
            <w:tcBorders>
              <w:top w:val="single" w:color="auto" w:sz="12" w:space="0"/>
            </w:tcBorders>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项目总负责</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77"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2</w:t>
            </w:r>
          </w:p>
        </w:tc>
        <w:tc>
          <w:tcPr>
            <w:tcW w:w="561"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陈佳佳</w:t>
            </w:r>
          </w:p>
        </w:tc>
        <w:tc>
          <w:tcPr>
            <w:tcW w:w="2292"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黔南州中医医院</w:t>
            </w:r>
          </w:p>
        </w:tc>
        <w:tc>
          <w:tcPr>
            <w:tcW w:w="1669"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项目技术统筹、技术把控</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77"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3</w:t>
            </w:r>
          </w:p>
        </w:tc>
        <w:tc>
          <w:tcPr>
            <w:tcW w:w="561"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曾曼杰</w:t>
            </w:r>
          </w:p>
        </w:tc>
        <w:tc>
          <w:tcPr>
            <w:tcW w:w="2292"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贵州云中医院</w:t>
            </w:r>
          </w:p>
        </w:tc>
        <w:tc>
          <w:tcPr>
            <w:tcW w:w="1669"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关键指标试验方法确定</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77"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4</w:t>
            </w:r>
          </w:p>
        </w:tc>
        <w:tc>
          <w:tcPr>
            <w:tcW w:w="561" w:type="pct"/>
            <w:vAlign w:val="center"/>
          </w:tcPr>
          <w:p>
            <w:pPr>
              <w:jc w:val="center"/>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石宏全</w:t>
            </w:r>
          </w:p>
        </w:tc>
        <w:tc>
          <w:tcPr>
            <w:tcW w:w="2292" w:type="pct"/>
            <w:vAlign w:val="center"/>
          </w:tcPr>
          <w:p>
            <w:pPr>
              <w:jc w:val="center"/>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从江县中医医院</w:t>
            </w:r>
          </w:p>
        </w:tc>
        <w:tc>
          <w:tcPr>
            <w:tcW w:w="1669"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标准资料预研，标准编制</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77"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5</w:t>
            </w:r>
          </w:p>
        </w:tc>
        <w:tc>
          <w:tcPr>
            <w:tcW w:w="561"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吴尚佳</w:t>
            </w:r>
          </w:p>
        </w:tc>
        <w:tc>
          <w:tcPr>
            <w:tcW w:w="2292" w:type="pct"/>
            <w:vAlign w:val="center"/>
          </w:tcPr>
          <w:p>
            <w:pPr>
              <w:jc w:val="center"/>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从江县中医医院</w:t>
            </w:r>
          </w:p>
        </w:tc>
        <w:tc>
          <w:tcPr>
            <w:tcW w:w="1669"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标准编制、关键指标核对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77"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6</w:t>
            </w:r>
          </w:p>
        </w:tc>
        <w:tc>
          <w:tcPr>
            <w:tcW w:w="561"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杨金贵</w:t>
            </w:r>
          </w:p>
        </w:tc>
        <w:tc>
          <w:tcPr>
            <w:tcW w:w="2292" w:type="pct"/>
            <w:vAlign w:val="center"/>
          </w:tcPr>
          <w:p>
            <w:pPr>
              <w:jc w:val="center"/>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从江县中医医院</w:t>
            </w:r>
          </w:p>
        </w:tc>
        <w:tc>
          <w:tcPr>
            <w:tcW w:w="1669"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技术指导</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77"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7</w:t>
            </w:r>
          </w:p>
        </w:tc>
        <w:tc>
          <w:tcPr>
            <w:tcW w:w="561"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阳修月</w:t>
            </w:r>
          </w:p>
        </w:tc>
        <w:tc>
          <w:tcPr>
            <w:tcW w:w="2292" w:type="pct"/>
            <w:vAlign w:val="center"/>
          </w:tcPr>
          <w:p>
            <w:pPr>
              <w:jc w:val="center"/>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从江县中医医院</w:t>
            </w:r>
          </w:p>
        </w:tc>
        <w:tc>
          <w:tcPr>
            <w:tcW w:w="1669"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技术指导</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77" w:type="pct"/>
            <w:vAlign w:val="center"/>
          </w:tcPr>
          <w:p>
            <w:pPr>
              <w:jc w:val="center"/>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8</w:t>
            </w:r>
          </w:p>
        </w:tc>
        <w:tc>
          <w:tcPr>
            <w:tcW w:w="561"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吴建婷</w:t>
            </w:r>
          </w:p>
        </w:tc>
        <w:tc>
          <w:tcPr>
            <w:tcW w:w="2292"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从江县加鸠镇卫生院</w:t>
            </w:r>
          </w:p>
        </w:tc>
        <w:tc>
          <w:tcPr>
            <w:tcW w:w="1669"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技术指导</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77"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9</w:t>
            </w:r>
          </w:p>
        </w:tc>
        <w:tc>
          <w:tcPr>
            <w:tcW w:w="561"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杨富坤</w:t>
            </w:r>
          </w:p>
        </w:tc>
        <w:tc>
          <w:tcPr>
            <w:tcW w:w="2292" w:type="pct"/>
            <w:vAlign w:val="center"/>
          </w:tcPr>
          <w:p>
            <w:pPr>
              <w:widowControl/>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从江县中医医院</w:t>
            </w:r>
          </w:p>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（药浴非遗传承人）</w:t>
            </w:r>
          </w:p>
        </w:tc>
        <w:tc>
          <w:tcPr>
            <w:tcW w:w="1669"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技术指导</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77"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1</w:t>
            </w:r>
            <w:r>
              <w:rPr>
                <w:rFonts w:asciiTheme="minorEastAsia" w:hAnsiTheme="minorEastAsia"/>
                <w:color w:val="000000" w:themeColor="text1"/>
                <w:szCs w:val="21"/>
                <w14:textFill>
                  <w14:solidFill>
                    <w14:schemeClr w14:val="tx1"/>
                  </w14:solidFill>
                </w14:textFill>
              </w:rPr>
              <w:t>0</w:t>
            </w:r>
          </w:p>
        </w:tc>
        <w:tc>
          <w:tcPr>
            <w:tcW w:w="561"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杨豪情</w:t>
            </w:r>
          </w:p>
        </w:tc>
        <w:tc>
          <w:tcPr>
            <w:tcW w:w="2292"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从江县中医医院</w:t>
            </w:r>
          </w:p>
        </w:tc>
        <w:tc>
          <w:tcPr>
            <w:tcW w:w="1669"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技术指导</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77"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1</w:t>
            </w:r>
            <w:r>
              <w:rPr>
                <w:rFonts w:asciiTheme="minorEastAsia" w:hAnsiTheme="minorEastAsia"/>
                <w:color w:val="000000" w:themeColor="text1"/>
                <w:szCs w:val="21"/>
                <w14:textFill>
                  <w14:solidFill>
                    <w14:schemeClr w14:val="tx1"/>
                  </w14:solidFill>
                </w14:textFill>
              </w:rPr>
              <w:t>1</w:t>
            </w:r>
          </w:p>
        </w:tc>
        <w:tc>
          <w:tcPr>
            <w:tcW w:w="561" w:type="pct"/>
            <w:vAlign w:val="center"/>
          </w:tcPr>
          <w:p>
            <w:pPr>
              <w:jc w:val="center"/>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龙明豪</w:t>
            </w:r>
          </w:p>
        </w:tc>
        <w:tc>
          <w:tcPr>
            <w:tcW w:w="2292" w:type="pct"/>
            <w:vAlign w:val="center"/>
          </w:tcPr>
          <w:p>
            <w:pPr>
              <w:jc w:val="center"/>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贵州中医药大学第一附属医院</w:t>
            </w:r>
          </w:p>
        </w:tc>
        <w:tc>
          <w:tcPr>
            <w:tcW w:w="1669"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技术指导</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77"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1</w:t>
            </w:r>
            <w:r>
              <w:rPr>
                <w:rFonts w:asciiTheme="minorEastAsia" w:hAnsiTheme="minorEastAsia"/>
                <w:color w:val="000000" w:themeColor="text1"/>
                <w:szCs w:val="21"/>
                <w14:textFill>
                  <w14:solidFill>
                    <w14:schemeClr w14:val="tx1"/>
                  </w14:solidFill>
                </w14:textFill>
              </w:rPr>
              <w:t>2</w:t>
            </w:r>
          </w:p>
        </w:tc>
        <w:tc>
          <w:tcPr>
            <w:tcW w:w="561" w:type="pct"/>
            <w:vAlign w:val="center"/>
          </w:tcPr>
          <w:p>
            <w:pPr>
              <w:jc w:val="center"/>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熊天容</w:t>
            </w:r>
          </w:p>
        </w:tc>
        <w:tc>
          <w:tcPr>
            <w:tcW w:w="2292" w:type="pct"/>
            <w:vAlign w:val="center"/>
          </w:tcPr>
          <w:p>
            <w:pPr>
              <w:jc w:val="center"/>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贵州中医药大学第一附属医院</w:t>
            </w:r>
          </w:p>
        </w:tc>
        <w:tc>
          <w:tcPr>
            <w:tcW w:w="1669"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项目标准编制统筹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77"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1</w:t>
            </w:r>
            <w:r>
              <w:rPr>
                <w:rFonts w:asciiTheme="minorEastAsia" w:hAnsiTheme="minorEastAsia"/>
                <w:color w:val="000000" w:themeColor="text1"/>
                <w:szCs w:val="21"/>
                <w14:textFill>
                  <w14:solidFill>
                    <w14:schemeClr w14:val="tx1"/>
                  </w14:solidFill>
                </w14:textFill>
              </w:rPr>
              <w:t>3</w:t>
            </w:r>
          </w:p>
        </w:tc>
        <w:tc>
          <w:tcPr>
            <w:tcW w:w="561" w:type="pct"/>
            <w:vAlign w:val="center"/>
          </w:tcPr>
          <w:p>
            <w:pPr>
              <w:jc w:val="center"/>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冷</w:t>
            </w:r>
            <w:r>
              <w:rPr>
                <w:rFonts w:hint="eastAsia" w:asciiTheme="minorEastAsia" w:hAnsiTheme="minorEastAsia"/>
                <w:color w:val="000000" w:themeColor="text1"/>
                <w:szCs w:val="21"/>
                <w14:textFill>
                  <w14:solidFill>
                    <w14:schemeClr w14:val="tx1"/>
                  </w14:solidFill>
                </w14:textFill>
              </w:rPr>
              <w:t xml:space="preserve">  </w:t>
            </w:r>
            <w:r>
              <w:rPr>
                <w:rFonts w:asciiTheme="minorEastAsia" w:hAnsiTheme="minorEastAsia"/>
                <w:color w:val="000000" w:themeColor="text1"/>
                <w:szCs w:val="21"/>
                <w14:textFill>
                  <w14:solidFill>
                    <w14:schemeClr w14:val="tx1"/>
                  </w14:solidFill>
                </w14:textFill>
              </w:rPr>
              <w:t>丽</w:t>
            </w:r>
          </w:p>
        </w:tc>
        <w:tc>
          <w:tcPr>
            <w:tcW w:w="2292" w:type="pct"/>
            <w:vAlign w:val="center"/>
          </w:tcPr>
          <w:p>
            <w:pPr>
              <w:jc w:val="center"/>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贵州中医药大学第二附属医院</w:t>
            </w:r>
          </w:p>
        </w:tc>
        <w:tc>
          <w:tcPr>
            <w:tcW w:w="1669"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技术指导</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77"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1</w:t>
            </w:r>
            <w:r>
              <w:rPr>
                <w:rFonts w:asciiTheme="minorEastAsia" w:hAnsiTheme="minorEastAsia"/>
                <w:color w:val="000000" w:themeColor="text1"/>
                <w:szCs w:val="21"/>
                <w14:textFill>
                  <w14:solidFill>
                    <w14:schemeClr w14:val="tx1"/>
                  </w14:solidFill>
                </w14:textFill>
              </w:rPr>
              <w:t>4</w:t>
            </w:r>
          </w:p>
        </w:tc>
        <w:tc>
          <w:tcPr>
            <w:tcW w:w="561" w:type="pct"/>
            <w:vAlign w:val="center"/>
          </w:tcPr>
          <w:p>
            <w:pPr>
              <w:jc w:val="center"/>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罗</w:t>
            </w:r>
            <w:r>
              <w:rPr>
                <w:rFonts w:hint="eastAsia" w:asciiTheme="minorEastAsia" w:hAnsiTheme="minorEastAsia"/>
                <w:color w:val="000000" w:themeColor="text1"/>
                <w:szCs w:val="21"/>
                <w14:textFill>
                  <w14:solidFill>
                    <w14:schemeClr w14:val="tx1"/>
                  </w14:solidFill>
                </w14:textFill>
              </w:rPr>
              <w:t xml:space="preserve">  </w:t>
            </w:r>
            <w:r>
              <w:rPr>
                <w:rFonts w:asciiTheme="minorEastAsia" w:hAnsiTheme="minorEastAsia"/>
                <w:color w:val="000000" w:themeColor="text1"/>
                <w:szCs w:val="21"/>
                <w14:textFill>
                  <w14:solidFill>
                    <w14:schemeClr w14:val="tx1"/>
                  </w14:solidFill>
                </w14:textFill>
              </w:rPr>
              <w:t>莎</w:t>
            </w:r>
          </w:p>
        </w:tc>
        <w:tc>
          <w:tcPr>
            <w:tcW w:w="2292" w:type="pct"/>
            <w:vAlign w:val="center"/>
          </w:tcPr>
          <w:p>
            <w:pPr>
              <w:jc w:val="center"/>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贵州省人民医院</w:t>
            </w:r>
          </w:p>
        </w:tc>
        <w:tc>
          <w:tcPr>
            <w:tcW w:w="1669"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技术指导</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77"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1</w:t>
            </w:r>
            <w:r>
              <w:rPr>
                <w:rFonts w:asciiTheme="minorEastAsia" w:hAnsiTheme="minorEastAsia"/>
                <w:color w:val="000000" w:themeColor="text1"/>
                <w:szCs w:val="21"/>
                <w14:textFill>
                  <w14:solidFill>
                    <w14:schemeClr w14:val="tx1"/>
                  </w14:solidFill>
                </w14:textFill>
              </w:rPr>
              <w:t>5</w:t>
            </w:r>
          </w:p>
        </w:tc>
        <w:tc>
          <w:tcPr>
            <w:tcW w:w="561"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柴  龙</w:t>
            </w:r>
          </w:p>
        </w:tc>
        <w:tc>
          <w:tcPr>
            <w:tcW w:w="2292" w:type="pct"/>
            <w:vAlign w:val="center"/>
          </w:tcPr>
          <w:p>
            <w:pPr>
              <w:jc w:val="center"/>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贵州省人民医院</w:t>
            </w:r>
          </w:p>
        </w:tc>
        <w:tc>
          <w:tcPr>
            <w:tcW w:w="1669"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标准资料搜集、整理、归档</w:t>
            </w:r>
          </w:p>
        </w:tc>
      </w:tr>
    </w:tbl>
    <w:p>
      <w:pPr>
        <w:pStyle w:val="11"/>
        <w:numPr>
          <w:ilvl w:val="0"/>
          <w:numId w:val="3"/>
        </w:numPr>
        <w:spacing w:before="156" w:beforeLines="50" w:after="156" w:afterLines="50"/>
        <w:ind w:firstLineChars="0"/>
        <w:jc w:val="left"/>
        <w:rPr>
          <w:rFonts w:ascii="黑体" w:hAnsi="黑体" w:eastAsia="黑体"/>
          <w:sz w:val="28"/>
          <w:szCs w:val="28"/>
        </w:rPr>
      </w:pPr>
      <w:r>
        <w:rPr>
          <w:rFonts w:hint="eastAsia" w:ascii="黑体" w:hAnsi="黑体" w:eastAsia="黑体"/>
          <w:sz w:val="28"/>
          <w:szCs w:val="28"/>
        </w:rPr>
        <w:t>制定标准的原则和依据</w:t>
      </w:r>
    </w:p>
    <w:p>
      <w:pPr>
        <w:pStyle w:val="11"/>
        <w:numPr>
          <w:ilvl w:val="0"/>
          <w:numId w:val="5"/>
        </w:numPr>
        <w:spacing w:after="156" w:afterLines="50"/>
        <w:ind w:firstLineChars="0"/>
        <w:rPr>
          <w:rFonts w:ascii="楷体_GB2312" w:hAnsi="黑体" w:eastAsia="楷体_GB2312"/>
          <w:sz w:val="28"/>
          <w:szCs w:val="28"/>
        </w:rPr>
      </w:pPr>
      <w:r>
        <w:rPr>
          <w:rFonts w:hint="eastAsia" w:ascii="楷体_GB2312" w:hAnsi="黑体" w:eastAsia="楷体_GB2312"/>
          <w:sz w:val="28"/>
          <w:szCs w:val="28"/>
        </w:rPr>
        <w:t>标准编制原则</w:t>
      </w:r>
    </w:p>
    <w:p>
      <w:pPr>
        <w:pStyle w:val="11"/>
        <w:spacing w:line="360" w:lineRule="auto"/>
        <w:ind w:firstLine="560"/>
        <w:jc w:val="left"/>
        <w:rPr>
          <w:rFonts w:ascii="仿宋_GB2312" w:eastAsia="仿宋_GB2312" w:hAnsiTheme="minorEastAsia"/>
          <w:sz w:val="28"/>
          <w:szCs w:val="28"/>
        </w:rPr>
      </w:pPr>
      <w:r>
        <w:rPr>
          <w:rFonts w:hint="eastAsia" w:ascii="仿宋_GB2312" w:eastAsia="仿宋_GB2312" w:hAnsiTheme="minorEastAsia"/>
          <w:sz w:val="28"/>
          <w:szCs w:val="28"/>
        </w:rPr>
        <w:t>1.合规性原则</w:t>
      </w:r>
    </w:p>
    <w:p>
      <w:pPr>
        <w:pStyle w:val="11"/>
        <w:spacing w:line="360" w:lineRule="auto"/>
        <w:ind w:firstLine="560"/>
        <w:jc w:val="left"/>
        <w:rPr>
          <w:rFonts w:ascii="仿宋_GB2312" w:eastAsia="仿宋_GB2312" w:hAnsiTheme="minorEastAsia"/>
          <w:sz w:val="28"/>
          <w:szCs w:val="28"/>
        </w:rPr>
      </w:pPr>
      <w:r>
        <w:rPr>
          <w:rFonts w:hint="eastAsia" w:ascii="仿宋_GB2312" w:eastAsia="仿宋_GB2312" w:hAnsiTheme="minorEastAsia"/>
          <w:sz w:val="28"/>
          <w:szCs w:val="28"/>
        </w:rPr>
        <w:t>标准编制符合相关法律法规与国家强制标准的要求。</w:t>
      </w:r>
    </w:p>
    <w:p>
      <w:pPr>
        <w:pStyle w:val="11"/>
        <w:spacing w:line="360" w:lineRule="auto"/>
        <w:ind w:firstLine="560"/>
        <w:jc w:val="left"/>
        <w:rPr>
          <w:rFonts w:ascii="仿宋_GB2312" w:eastAsia="仿宋_GB2312" w:hAnsiTheme="minorEastAsia"/>
          <w:sz w:val="28"/>
          <w:szCs w:val="28"/>
        </w:rPr>
      </w:pPr>
      <w:r>
        <w:rPr>
          <w:rFonts w:hint="eastAsia" w:ascii="仿宋_GB2312" w:eastAsia="仿宋_GB2312" w:hAnsiTheme="minorEastAsia"/>
          <w:sz w:val="28"/>
          <w:szCs w:val="28"/>
        </w:rPr>
        <w:t>2.适用性原则</w:t>
      </w:r>
    </w:p>
    <w:p>
      <w:pPr>
        <w:pStyle w:val="11"/>
        <w:spacing w:line="360" w:lineRule="auto"/>
        <w:ind w:firstLine="560"/>
        <w:jc w:val="left"/>
        <w:rPr>
          <w:rFonts w:ascii="仿宋_GB2312" w:eastAsia="仿宋_GB2312" w:hAnsiTheme="minorEastAsia"/>
          <w:sz w:val="28"/>
          <w:szCs w:val="28"/>
        </w:rPr>
      </w:pPr>
      <w:r>
        <w:rPr>
          <w:rFonts w:hint="eastAsia" w:ascii="仿宋_GB2312" w:eastAsia="仿宋_GB2312" w:hAnsiTheme="minorEastAsia"/>
          <w:sz w:val="28"/>
          <w:szCs w:val="28"/>
        </w:rPr>
        <w:t>在充分梳理、分析牵头单位的想法和需求，对《瑶浴病房建设与管理指南》的范围和内容，环境与设施、流程，质量控制与保障等内容作出要求，为瑶浴病房的建设等提供有效的指导。</w:t>
      </w:r>
    </w:p>
    <w:p>
      <w:pPr>
        <w:pStyle w:val="11"/>
        <w:spacing w:line="360" w:lineRule="auto"/>
        <w:ind w:firstLine="560"/>
        <w:jc w:val="left"/>
        <w:rPr>
          <w:rFonts w:ascii="仿宋_GB2312" w:eastAsia="仿宋_GB2312" w:hAnsiTheme="minorEastAsia"/>
          <w:sz w:val="28"/>
          <w:szCs w:val="28"/>
        </w:rPr>
      </w:pPr>
      <w:r>
        <w:rPr>
          <w:rFonts w:hint="eastAsia" w:ascii="仿宋_GB2312" w:eastAsia="仿宋_GB2312" w:hAnsiTheme="minorEastAsia"/>
          <w:sz w:val="28"/>
          <w:szCs w:val="28"/>
        </w:rPr>
        <w:t>3.目的性原则</w:t>
      </w:r>
    </w:p>
    <w:p>
      <w:pPr>
        <w:pStyle w:val="11"/>
        <w:spacing w:line="360" w:lineRule="auto"/>
        <w:ind w:firstLine="560"/>
        <w:jc w:val="left"/>
        <w:rPr>
          <w:rFonts w:ascii="仿宋_GB2312" w:eastAsia="仿宋_GB2312" w:hAnsiTheme="minorEastAsia"/>
          <w:sz w:val="28"/>
          <w:szCs w:val="28"/>
        </w:rPr>
      </w:pPr>
      <w:r>
        <w:rPr>
          <w:rFonts w:hint="eastAsia" w:ascii="仿宋_GB2312" w:eastAsia="仿宋_GB2312" w:hAnsiTheme="minorEastAsia"/>
          <w:sz w:val="28"/>
          <w:szCs w:val="28"/>
        </w:rPr>
        <w:t>为进一步规范瑶浴病房的建设与管理，提高瑶浴病房服务能力与水平，满足人民群众日益增长对瑶浴疗法需求，在系统总结相关门诊建设与管理经验的基础上，采用文献研究、实地调研等多种研究方法，根据《医疗机构管理条例》及《中共中央国务院关于促进中医药传承创新发展的意见》等相关法律法规，制定本文件。</w:t>
      </w:r>
    </w:p>
    <w:p>
      <w:pPr>
        <w:pStyle w:val="11"/>
        <w:spacing w:line="360" w:lineRule="auto"/>
        <w:ind w:firstLine="560"/>
        <w:jc w:val="left"/>
        <w:rPr>
          <w:rFonts w:ascii="仿宋_GB2312" w:eastAsia="仿宋_GB2312" w:hAnsiTheme="minorEastAsia"/>
          <w:sz w:val="28"/>
          <w:szCs w:val="28"/>
        </w:rPr>
      </w:pPr>
      <w:r>
        <w:rPr>
          <w:rFonts w:hint="eastAsia" w:ascii="仿宋_GB2312" w:eastAsia="仿宋_GB2312" w:hAnsiTheme="minorEastAsia"/>
          <w:sz w:val="28"/>
          <w:szCs w:val="28"/>
        </w:rPr>
        <w:t>本文件旨在规范瑶浴病房建设与管理，拓展瑶浴疗法服务能力，为人民群众提供安全、有效的瑶浴疗法，同时为行业主管部门科学评价瑶浴病房服务能力提供参考。</w:t>
      </w:r>
    </w:p>
    <w:p>
      <w:pPr>
        <w:pStyle w:val="11"/>
        <w:spacing w:line="360" w:lineRule="auto"/>
        <w:ind w:firstLine="560"/>
        <w:jc w:val="left"/>
        <w:rPr>
          <w:rFonts w:ascii="仿宋_GB2312" w:eastAsia="仿宋_GB2312" w:hAnsiTheme="minorEastAsia"/>
          <w:sz w:val="28"/>
          <w:szCs w:val="28"/>
        </w:rPr>
      </w:pPr>
      <w:r>
        <w:rPr>
          <w:rFonts w:hint="eastAsia" w:ascii="仿宋_GB2312" w:eastAsia="仿宋_GB2312" w:hAnsiTheme="minorEastAsia"/>
          <w:sz w:val="28"/>
          <w:szCs w:val="28"/>
        </w:rPr>
        <w:t>《瑶浴病房建设与管理指南》标准为后期各级医疗机构建立瑶浴病房应用论证、评估等管理制度、机构内技术操作规范、管理要求、管理规定和风险防范措施提供标准依据，也为各级卫生健康行政部门和民族医药主管部门充分运用信息化等手段加强对瑶浴病房的事中事后监管，保证医疗质量，防范医疗风险提供依据。</w:t>
      </w:r>
    </w:p>
    <w:p>
      <w:pPr>
        <w:pStyle w:val="11"/>
        <w:spacing w:line="360" w:lineRule="auto"/>
        <w:ind w:firstLine="560"/>
        <w:jc w:val="left"/>
        <w:rPr>
          <w:rFonts w:ascii="仿宋_GB2312" w:eastAsia="仿宋_GB2312" w:hAnsiTheme="minorEastAsia"/>
          <w:sz w:val="28"/>
          <w:szCs w:val="28"/>
        </w:rPr>
      </w:pPr>
      <w:r>
        <w:rPr>
          <w:rFonts w:hint="eastAsia" w:ascii="仿宋_GB2312" w:eastAsia="仿宋_GB2312" w:hAnsiTheme="minorEastAsia"/>
          <w:sz w:val="28"/>
          <w:szCs w:val="28"/>
        </w:rPr>
        <w:t>4.规范性原则</w:t>
      </w:r>
    </w:p>
    <w:p>
      <w:pPr>
        <w:pStyle w:val="11"/>
        <w:spacing w:line="360" w:lineRule="auto"/>
        <w:ind w:firstLine="560"/>
        <w:jc w:val="left"/>
        <w:rPr>
          <w:rFonts w:ascii="仿宋_GB2312" w:eastAsia="仿宋_GB2312" w:hAnsiTheme="minorEastAsia"/>
          <w:sz w:val="28"/>
          <w:szCs w:val="28"/>
        </w:rPr>
      </w:pPr>
      <w:r>
        <w:rPr>
          <w:rFonts w:hint="eastAsia" w:ascii="仿宋_GB2312" w:hAnsi="楷体" w:eastAsia="仿宋_GB2312" w:cs="Times New Roman"/>
          <w:kern w:val="0"/>
          <w:sz w:val="28"/>
          <w:szCs w:val="28"/>
        </w:rPr>
        <w:t>本标准编写格式依据 GB/T 1.1-2020《标准化工作导则第 1 部分：</w:t>
      </w:r>
      <w:r>
        <w:rPr>
          <w:rFonts w:hint="eastAsia" w:ascii="仿宋_GB2312" w:eastAsia="仿宋_GB2312" w:hAnsiTheme="minorEastAsia"/>
          <w:sz w:val="28"/>
          <w:szCs w:val="28"/>
        </w:rPr>
        <w:t>标准化文件的结构和起草规则</w:t>
      </w:r>
      <w:r>
        <w:rPr>
          <w:rFonts w:hint="eastAsia" w:ascii="仿宋_GB2312" w:hAnsi="楷体" w:eastAsia="仿宋_GB2312" w:cs="Times New Roman"/>
          <w:kern w:val="0"/>
          <w:sz w:val="28"/>
          <w:szCs w:val="28"/>
        </w:rPr>
        <w:t>》给出的规则编写。</w:t>
      </w:r>
    </w:p>
    <w:p>
      <w:pPr>
        <w:pStyle w:val="11"/>
        <w:numPr>
          <w:ilvl w:val="0"/>
          <w:numId w:val="5"/>
        </w:numPr>
        <w:spacing w:after="156" w:afterLines="50"/>
        <w:ind w:firstLineChars="0"/>
        <w:rPr>
          <w:rFonts w:ascii="楷体_GB2312" w:hAnsi="黑体" w:eastAsia="楷体_GB2312"/>
          <w:sz w:val="28"/>
          <w:szCs w:val="28"/>
        </w:rPr>
      </w:pPr>
      <w:r>
        <w:rPr>
          <w:rFonts w:hint="eastAsia" w:ascii="楷体_GB2312" w:hAnsi="黑体" w:eastAsia="楷体_GB2312"/>
          <w:sz w:val="28"/>
          <w:szCs w:val="28"/>
        </w:rPr>
        <w:t>标准编制依据</w:t>
      </w:r>
    </w:p>
    <w:p>
      <w:pPr>
        <w:spacing w:line="360" w:lineRule="auto"/>
        <w:ind w:firstLine="560" w:firstLineChars="200"/>
        <w:jc w:val="left"/>
        <w:rPr>
          <w:rFonts w:ascii="仿宋_GB2312" w:eastAsia="仿宋_GB2312" w:hAnsiTheme="minorEastAsia"/>
          <w:sz w:val="28"/>
          <w:szCs w:val="28"/>
        </w:rPr>
      </w:pPr>
      <w:r>
        <w:rPr>
          <w:rFonts w:hint="eastAsia" w:ascii="仿宋_GB2312" w:eastAsia="仿宋_GB2312" w:hAnsiTheme="minorEastAsia"/>
          <w:sz w:val="28"/>
          <w:szCs w:val="28"/>
        </w:rPr>
        <w:t>本标准共计引用了4项标准及法规，分别为：</w:t>
      </w:r>
    </w:p>
    <w:p>
      <w:pPr>
        <w:pStyle w:val="12"/>
        <w:rPr>
          <w:rFonts w:ascii="仿宋_GB2312" w:eastAsia="仿宋_GB2312" w:hAnsiTheme="minorEastAsia" w:cstheme="minorBidi"/>
          <w:kern w:val="2"/>
          <w:sz w:val="28"/>
          <w:szCs w:val="28"/>
        </w:rPr>
      </w:pPr>
      <w:r>
        <w:rPr>
          <w:rFonts w:hint="eastAsia"/>
        </w:rPr>
        <w:t xml:space="preserve"> </w:t>
      </w:r>
      <w:r>
        <w:rPr>
          <w:rFonts w:hint="eastAsia" w:ascii="仿宋_GB2312" w:eastAsia="仿宋_GB2312" w:hAnsiTheme="minorEastAsia" w:cstheme="minorBidi"/>
          <w:kern w:val="2"/>
          <w:sz w:val="28"/>
          <w:szCs w:val="28"/>
        </w:rPr>
        <w:t>WS 308-2019 医疗机构消防安全管理</w:t>
      </w:r>
    </w:p>
    <w:p>
      <w:pPr>
        <w:pStyle w:val="12"/>
        <w:ind w:firstLine="560"/>
        <w:rPr>
          <w:rFonts w:ascii="仿宋_GB2312" w:eastAsia="仿宋_GB2312" w:hAnsiTheme="minorEastAsia" w:cstheme="minorBidi"/>
          <w:kern w:val="2"/>
          <w:sz w:val="28"/>
          <w:szCs w:val="28"/>
        </w:rPr>
      </w:pPr>
      <w:r>
        <w:rPr>
          <w:rFonts w:hint="eastAsia" w:ascii="仿宋_GB2312" w:eastAsia="仿宋_GB2312" w:hAnsiTheme="minorEastAsia" w:cstheme="minorBidi"/>
          <w:kern w:val="2"/>
          <w:sz w:val="28"/>
          <w:szCs w:val="28"/>
        </w:rPr>
        <w:t>WS/T 312-2009</w:t>
      </w:r>
      <w:r>
        <w:rPr>
          <w:rFonts w:hint="eastAsia" w:ascii="仿宋_GB2312" w:eastAsia="仿宋_GB2312" w:hAnsiTheme="minorEastAsia" w:cstheme="minorBidi"/>
          <w:kern w:val="2"/>
          <w:sz w:val="28"/>
          <w:szCs w:val="28"/>
          <w:lang w:val="en-US" w:eastAsia="zh-CN"/>
        </w:rPr>
        <w:t xml:space="preserve"> </w:t>
      </w:r>
      <w:r>
        <w:rPr>
          <w:rFonts w:hint="eastAsia" w:ascii="仿宋_GB2312" w:eastAsia="仿宋_GB2312" w:hAnsiTheme="minorEastAsia" w:cstheme="minorBidi"/>
          <w:kern w:val="2"/>
          <w:sz w:val="28"/>
          <w:szCs w:val="28"/>
        </w:rPr>
        <w:t>医院感染监测规范</w:t>
      </w:r>
    </w:p>
    <w:p>
      <w:pPr>
        <w:pStyle w:val="12"/>
        <w:ind w:firstLine="560"/>
        <w:rPr>
          <w:rFonts w:ascii="仿宋_GB2312" w:eastAsia="仿宋_GB2312" w:hAnsiTheme="minorEastAsia" w:cstheme="minorBidi"/>
          <w:kern w:val="2"/>
          <w:sz w:val="28"/>
          <w:szCs w:val="28"/>
        </w:rPr>
      </w:pPr>
      <w:r>
        <w:rPr>
          <w:rFonts w:hint="eastAsia" w:ascii="仿宋_GB2312" w:eastAsia="仿宋_GB2312" w:hAnsiTheme="minorEastAsia" w:cstheme="minorBidi"/>
          <w:kern w:val="2"/>
          <w:sz w:val="28"/>
          <w:szCs w:val="28"/>
        </w:rPr>
        <w:t>WS/T 367-2012</w:t>
      </w:r>
      <w:r>
        <w:rPr>
          <w:rFonts w:hint="eastAsia" w:ascii="仿宋_GB2312" w:eastAsia="仿宋_GB2312" w:hAnsiTheme="minorEastAsia" w:cstheme="minorBidi"/>
          <w:kern w:val="2"/>
          <w:sz w:val="28"/>
          <w:szCs w:val="28"/>
          <w:lang w:val="en-US" w:eastAsia="zh-CN"/>
        </w:rPr>
        <w:t xml:space="preserve"> </w:t>
      </w:r>
      <w:r>
        <w:rPr>
          <w:rFonts w:hint="eastAsia" w:ascii="仿宋_GB2312" w:eastAsia="仿宋_GB2312" w:hAnsiTheme="minorEastAsia" w:cstheme="minorBidi"/>
          <w:kern w:val="2"/>
          <w:sz w:val="28"/>
          <w:szCs w:val="28"/>
        </w:rPr>
        <w:t>医疗机构消毒技术规范</w:t>
      </w:r>
    </w:p>
    <w:p>
      <w:pPr>
        <w:pStyle w:val="12"/>
        <w:ind w:firstLine="560"/>
        <w:rPr>
          <w:rFonts w:ascii="仿宋_GB2312" w:eastAsia="仿宋_GB2312" w:hAnsiTheme="minorEastAsia" w:cstheme="minorBidi"/>
          <w:kern w:val="2"/>
          <w:sz w:val="28"/>
          <w:szCs w:val="28"/>
        </w:rPr>
      </w:pPr>
      <w:r>
        <w:rPr>
          <w:rFonts w:hint="eastAsia" w:ascii="仿宋_GB2312" w:eastAsia="仿宋_GB2312" w:hAnsiTheme="minorEastAsia" w:cstheme="minorBidi"/>
          <w:kern w:val="2"/>
          <w:sz w:val="28"/>
          <w:szCs w:val="28"/>
        </w:rPr>
        <w:t>T/CARM 001-2021 中医医院康复科建设标准范</w:t>
      </w:r>
    </w:p>
    <w:p>
      <w:pPr>
        <w:pStyle w:val="11"/>
        <w:numPr>
          <w:ilvl w:val="0"/>
          <w:numId w:val="3"/>
        </w:numPr>
        <w:spacing w:before="156" w:beforeLines="50" w:after="156" w:afterLines="50"/>
        <w:ind w:firstLineChars="0"/>
        <w:jc w:val="left"/>
        <w:rPr>
          <w:rFonts w:ascii="黑体" w:hAnsi="黑体" w:eastAsia="黑体"/>
          <w:sz w:val="28"/>
          <w:szCs w:val="28"/>
        </w:rPr>
      </w:pPr>
      <w:r>
        <w:rPr>
          <w:rFonts w:hint="eastAsia" w:ascii="黑体" w:hAnsi="黑体" w:eastAsia="黑体"/>
          <w:sz w:val="28"/>
          <w:szCs w:val="28"/>
        </w:rPr>
        <w:t>主要条款的说明</w:t>
      </w:r>
    </w:p>
    <w:p>
      <w:pPr>
        <w:pStyle w:val="11"/>
        <w:numPr>
          <w:ilvl w:val="0"/>
          <w:numId w:val="6"/>
        </w:numPr>
        <w:spacing w:after="156" w:afterLines="50"/>
        <w:ind w:firstLineChars="0"/>
        <w:rPr>
          <w:rFonts w:ascii="楷体_GB2312" w:hAnsi="黑体" w:eastAsia="楷体_GB2312"/>
          <w:sz w:val="28"/>
          <w:szCs w:val="28"/>
        </w:rPr>
      </w:pPr>
      <w:r>
        <w:rPr>
          <w:rFonts w:hint="eastAsia" w:ascii="楷体_GB2312" w:hAnsi="黑体" w:eastAsia="楷体_GB2312"/>
          <w:sz w:val="28"/>
          <w:szCs w:val="28"/>
        </w:rPr>
        <w:t>术语和定义</w:t>
      </w:r>
    </w:p>
    <w:p>
      <w:pPr>
        <w:spacing w:after="156" w:afterLines="50"/>
        <w:ind w:left="300" w:firstLine="560" w:firstLineChars="200"/>
        <w:rPr>
          <w:rFonts w:ascii="仿宋_GB2312" w:eastAsia="仿宋_GB2312" w:hAnsiTheme="minorEastAsia"/>
          <w:sz w:val="28"/>
          <w:szCs w:val="28"/>
        </w:rPr>
      </w:pPr>
      <w:r>
        <w:rPr>
          <w:rFonts w:ascii="仿宋_GB2312" w:eastAsia="仿宋_GB2312" w:hAnsiTheme="minorEastAsia"/>
          <w:sz w:val="28"/>
          <w:szCs w:val="28"/>
        </w:rPr>
        <w:t>3.1</w:t>
      </w:r>
      <w:r>
        <w:rPr>
          <w:rFonts w:hint="eastAsia" w:ascii="仿宋_GB2312" w:eastAsia="仿宋_GB2312" w:hAnsiTheme="minorEastAsia"/>
          <w:sz w:val="28"/>
          <w:szCs w:val="28"/>
        </w:rPr>
        <w:t>瑶浴疗法 Yao Bath Therapy</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以瑶医理论为指导，用药物煎汤浴洗或浸泡全身，发挥药物与水（蒸汽）的双重作用，达到防治疾病和养生保健目的的一种瑶医外治法。</w:t>
      </w:r>
    </w:p>
    <w:p>
      <w:pPr>
        <w:spacing w:after="156" w:afterLines="50"/>
        <w:ind w:left="300" w:firstLine="560" w:firstLineChars="200"/>
        <w:rPr>
          <w:rFonts w:ascii="仿宋_GB2312" w:eastAsia="仿宋_GB2312" w:hAnsiTheme="minorEastAsia"/>
          <w:sz w:val="28"/>
          <w:szCs w:val="28"/>
        </w:rPr>
      </w:pPr>
      <w:r>
        <w:rPr>
          <w:rFonts w:ascii="仿宋_GB2312" w:eastAsia="仿宋_GB2312" w:hAnsiTheme="minorEastAsia"/>
          <w:sz w:val="28"/>
          <w:szCs w:val="28"/>
        </w:rPr>
        <w:t xml:space="preserve">3.2    </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瑶浴病房 Yao bath ward</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运用瑶医药理论与方法，以瑶浴疗法技术为主，辅以方药、器械及其他相关医学诊疗手段为患者提供医疗、预防、保健等服务的病房。</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4  病房设置</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4.1  瑶浴治疗区（室）</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瑶浴治疗区（室）又划分接待区、更衣区、休息区、浴区、中药煎液制备区，区域之间应实际间隔开，非医务人员不应随意进入该区。</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4.2  瑶浴病房</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瑶浴病房可设置产后瑶浴专科、儿童瑶浴专科等。三级医院建议开设至少包含2个以上专科内容，建议有条件者设置重症监护病房。二级医院建议设置瑶浴，至少包含1个以上专科内容。社区医院可不设置瑶浴病房。</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5  场地规模与环境形象</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5.1  场地规模</w:t>
      </w:r>
    </w:p>
    <w:p>
      <w:pPr>
        <w:spacing w:after="156" w:afterLines="50"/>
        <w:ind w:left="300" w:firstLine="560" w:firstLineChars="200"/>
        <w:rPr>
          <w:rFonts w:hint="eastAsia" w:ascii="仿宋_GB2312" w:eastAsia="仿宋_GB2312" w:hAnsiTheme="minorEastAsia"/>
          <w:sz w:val="28"/>
          <w:szCs w:val="28"/>
        </w:rPr>
      </w:pPr>
      <w:r>
        <w:rPr>
          <w:rFonts w:hint="eastAsia" w:ascii="仿宋_GB2312" w:eastAsia="仿宋_GB2312" w:hAnsiTheme="minorEastAsia"/>
          <w:sz w:val="28"/>
          <w:szCs w:val="28"/>
        </w:rPr>
        <w:t>5.1.1  瑶浴治疗区（室）</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三级医院瑶浴治疗区（室）总使用面积不少于50平方米，二级医院瑶浴治疗区（室）总使用面积不少于40平方米，社区医院康复治疗区（室）总使用面积不少于30平方米，单个治疗室净使用面积应大于15平方米。布局需合理，保障患者隐私，就诊流程便捷及符合医院感染管理规范要求。</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5.1.2 瑶浴病房</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 xml:space="preserve">    三级医院瑶浴病房床位总数20张以上：二级医院瑶浴病房床位总数15张以上，病房每床净使用面积以8~10平方米为宜，床间距大于1.2米。</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5.2  环境形象</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5. 2. 1 基本要求</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瑶浴病房应根据本单位和本科室的实际情况，遵循“以病人为中心”的瑶浴疗法服务宗旨，以“便利、舒适、整洁、温馨”为环境形象的基本原则，注重突出瑶医药特色优势，公用场所应有国家无障碍设计，各相关区域应有保护患者隐私的设置。在医疗机构适当位置，用汉语标示瑶浴病房的指示牌和路牌；少数民族地区可同时用汉语和少数民族语言标示；有需要的医疗机构可附加外语标识；有条件的医疗机构可提供触模式语言提示系统。</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5. 2. 2 建设区域</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瑶浴病房环境形象建设的重点区域包括病房出入通道、病房走廊、瑶浴治疗区（室）、瑶浴病房内部等。</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5. 2. 3 建设内容</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瑶浴病房的内部装饰，根据不同的区域、内容，可以采用摆放人体骨骼肌肉系统模型，悬挂经络、穴位等相关知识的挂图等，设立瑶医药常识宣传栏，开设橱窗、展柜、触摸屏、视频网络、宣传折页等。重点传播瑶浴疗法特色和优势，营造良好的瑶浴文化氛围。宣传知识、介绍方法和彰显瑶医药特色康复的具体内容，应使用瑶医病名和瑶医术语，并依据病种的变化及时调整。有条件的瑶浴病房外部可设置瑶浴疗法健康宣教栏，宣传内容科学规范，并依据季节等变化面及时调整、更换。</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6 设备设施</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6.1 基本要求</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瑶浴病房应当保证各类治疗设备、用物处于良好状态，完好率100%，每月至少维护检查1次，将相关检查记录登记在册。</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6.2 基本设备</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瑶浴病房应根据临床需要配备必要的设备，主要包括：快速血糖仪、血压计、体温计、体重计、医用冰箱、心电图机、微量泵、输液泵、营养输注泵、冰帽、吸引设备、中心负压吸引设备、供氧设备、中心供氧设备、空气消毒机、呼吸湿化治疗仪等。也可参照三级中医院基本设备并结合本专业实际需要配置。</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6.3专科设备</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6.3.1 评定设备</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瑶浴病房根据需要配备中西医评定设备，包括中医床边治疗设备、中医康复设备等，有条件的医院可配置中医四诊采集分析设备，如中医舌象采集仪、中医脉象诊断仪、中医经络检测仪等。</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6.3.2治疗器具或用物</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瑶浴病房浴器选用规格：长宽高为1.5m、0.6m、0.8m木质或竹质浴桶，也可根据当地人群体型，配备其他规格的浴桶。浴区应配有水温调节装置及温度测量仪器。开展专病专科的瑶浴疗法门诊，应配备专病专科所需的其他诊疗设备。三级医院瑶浴病房建议配置中药、针法、灸法、推拿、罐疗、物理治疗、作业治疗、认知治疗、言语吞咽治疗等设备。二级医院瑶浴病房建议配置中药、针法、灸法、推拿、罐疗、物理治疗、作业治疗等设备。</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6.3.3 急救设备</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可根据收治病种结构，配置相应的抢救设备，如多参数监护设备、心脏除颤器、简易呼吸器、呼吸机、多功能抢救床、气管插管设备等。瑶浴区(泡浴区)需配备呼叫设备。</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6.3.4 信息化设备</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瑶浴病房应配置自动化办公设备、智能显示设备等。三级医院瑶浴病房至少配备4台工作电脑及打印机设备；二级医院瑶浴病房至少配备3台工作电脑及打印机设备。</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6.3.5其他设施</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6.3.5.1应配备必要的急救器械和药品等。</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6.3.5.2应提供盛放医用垃圾的桶或袋，包括盛放废针具的锐器盒等。</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6.3.5.3参照 WS/T 367-2012的要求，配备必备的消毒剂和消毒设施空气消毒机。</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6.3.5.4参照WS 308-2019的规定，配备必要的消防器材和设施。</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6.3.5.5设置独立煎药区或与医院煎药室建立优先快捷配送机制，有条件的医院可配备临方炮制室，支持和保障不同功效的瑶浴膏、球、散等的制备和使用。</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7 人员配置</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7.1 人员配置要求</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三级医院瑶浴病房每床至少配备0.25名执业医师、0.4名执业护士，其中中医类别执业医师占执业医师总数的70%以上，并根据需要配备其他类别的执业医师。二级医院瑶浴病房每床至少配备0.15名执业医师、0.3名执业护士，其中中医类别执业医师占执业医师总数的60%以上，至少配备1名中医传统康复治疗人员（针灸/推拿）。各级医院瑶浴病房专业技术人员层次、结构、年龄合理，岗位责任分工明确，团队协作稳定，具有支撑科室可持续发展的人才梯队。</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7.2 医生能力要求</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7.2.1宜具有扎实的中医基础理论和瑶医基础理论，娴熟的瑶浴疗法技术操作能力及持续学习的能力。</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7.2.2宜具有良好的临床能力，能运用中医基础理论和瑶浴疗法的基础理论，对患者进行评估、辨证分析，提出并处理健康问题，制定并实施瑶浴疗法方案，跟踪评价效果，达到良好的健康结局。</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7.2.3宜具有良好的组织管理与协调沟通能力，协调医护患关系。</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7.2.4宜具有领导和团队合作、协调能力。</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7.2.5宜具有有效的应急处置能力，能够应对、处置患者的突发情况。</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8 专科技术</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8.1 科普宣传</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瑶浴病房应具备运用中西瑶医理论和知识及相关媒介，开展预防、养生、保健、残障防治、瑶浴疗法等相关科普教育的技术，提高人民群众对健康的认知，实现疾病的尽早发现、尽早诊断、尽早治疗。</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8.2 疾病治疗</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瑶浴病房通过运用瑶医理论，充分发挥瑶浴特色与优势，积极探索运用主导的瑶浴疗法，开展各种优势病种的诊治工作，形成瑶浴主导的诊疗方案并向其他临床科室推广，达到全面提升瑶浴临床服务水平及目标。同时瑶浴病房应充分运用中医和西医理论知识及相关辅助检查，开展常见疾病及疑难病的中西医诊断（包括中医疾病诊断、中医证候诊断、西医疾病诊断）及基础治疗。</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8.3 疾病护理</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瑶浴病房应具备开展基础护理技术、康复护理评估技术、康复护理治疗技术及中医康复特色护理技术。基础护理技术主要包括无菌技术、常规给药方法指导、静脉输液法、导尿术、灌肠法、口腔护理、皮肤护理、心理护理、饮食护理等。护理评估技术主要包括吞咽障碍筛查、跌倒风险评分、血栓风险评估、疼痛评估、营养风险筛查评估、膀胱残余尿量测定、压疮风险评估等。</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9.质量管理</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参照T/CARM 001-2021第10章执行。</w:t>
      </w:r>
    </w:p>
    <w:p>
      <w:pPr>
        <w:pStyle w:val="11"/>
        <w:numPr>
          <w:ilvl w:val="0"/>
          <w:numId w:val="3"/>
        </w:numPr>
        <w:ind w:firstLineChars="0"/>
        <w:rPr>
          <w:rFonts w:ascii="黑体" w:hAnsi="黑体" w:eastAsia="黑体"/>
          <w:sz w:val="28"/>
          <w:szCs w:val="28"/>
        </w:rPr>
      </w:pPr>
      <w:r>
        <w:rPr>
          <w:rFonts w:hint="eastAsia" w:ascii="黑体" w:hAnsi="黑体" w:eastAsia="黑体"/>
          <w:sz w:val="28"/>
          <w:szCs w:val="28"/>
        </w:rPr>
        <w:t>主要试验（或验证）情况分析</w:t>
      </w:r>
    </w:p>
    <w:p>
      <w:pPr>
        <w:spacing w:line="360" w:lineRule="auto"/>
        <w:ind w:firstLine="560" w:firstLineChars="200"/>
        <w:jc w:val="left"/>
        <w:rPr>
          <w:rFonts w:ascii="仿宋_GB2312" w:eastAsia="仿宋_GB2312" w:hAnsiTheme="minorEastAsia"/>
          <w:sz w:val="28"/>
          <w:szCs w:val="28"/>
        </w:rPr>
      </w:pPr>
      <w:r>
        <w:rPr>
          <w:rFonts w:hint="eastAsia" w:ascii="仿宋_GB2312" w:eastAsia="仿宋_GB2312" w:hAnsiTheme="minorEastAsia"/>
          <w:sz w:val="28"/>
          <w:szCs w:val="28"/>
        </w:rPr>
        <w:t>标准编制工作组依据标准初稿中拟定的《瑶浴病房建设与管理指南》的建设技术要求拟定在相关方中开展广泛调研，充分考虑</w:t>
      </w:r>
      <w:r>
        <w:rPr>
          <w:rFonts w:hint="eastAsia" w:ascii="仿宋_GB2312" w:eastAsia="仿宋_GB2312" w:hAnsiTheme="minorEastAsia"/>
          <w:sz w:val="28"/>
          <w:szCs w:val="28"/>
          <w:highlight w:val="none"/>
        </w:rPr>
        <w:t>各相关方</w:t>
      </w:r>
      <w:r>
        <w:rPr>
          <w:rFonts w:hint="eastAsia" w:ascii="仿宋_GB2312" w:eastAsia="仿宋_GB2312" w:hAnsiTheme="minorEastAsia"/>
          <w:sz w:val="28"/>
          <w:szCs w:val="28"/>
        </w:rPr>
        <w:t>的需求及实际，并结合临床开展经验总结，充分考虑到《瑶浴病房建设与管理指南》的建设现状与发展特点，制定了标准的适用范围。</w:t>
      </w:r>
    </w:p>
    <w:p>
      <w:pPr>
        <w:spacing w:line="360" w:lineRule="auto"/>
        <w:ind w:firstLine="560" w:firstLineChars="200"/>
        <w:jc w:val="left"/>
        <w:rPr>
          <w:rFonts w:ascii="仿宋_GB2312" w:eastAsia="仿宋_GB2312" w:hAnsiTheme="minorEastAsia"/>
          <w:sz w:val="28"/>
          <w:szCs w:val="28"/>
        </w:rPr>
      </w:pPr>
      <w:r>
        <w:rPr>
          <w:rFonts w:hint="eastAsia" w:ascii="仿宋_GB2312" w:eastAsia="仿宋_GB2312" w:hAnsiTheme="minorEastAsia"/>
          <w:sz w:val="28"/>
          <w:szCs w:val="28"/>
        </w:rPr>
        <w:t>项目牵头单位于2024年5月26日挂牌成立“瑶浴</w:t>
      </w:r>
      <w:r>
        <w:rPr>
          <w:rFonts w:hint="eastAsia" w:ascii="仿宋_GB2312" w:eastAsia="仿宋_GB2312" w:hAnsiTheme="minorEastAsia"/>
          <w:sz w:val="28"/>
          <w:szCs w:val="28"/>
          <w:lang w:val="en-US" w:eastAsia="zh-CN"/>
        </w:rPr>
        <w:t>门诊</w:t>
      </w:r>
      <w:r>
        <w:rPr>
          <w:rFonts w:hint="eastAsia" w:ascii="仿宋_GB2312" w:eastAsia="仿宋_GB2312" w:hAnsiTheme="minorEastAsia"/>
          <w:sz w:val="28"/>
          <w:szCs w:val="28"/>
        </w:rPr>
        <w:t xml:space="preserve">”及“瑶浴病房”，为后期各级医疗机构建立瑶浴病房及瑶浴疗法应用论证、评估等管理制度、机构内技术操作规范、管理要求、管理规定和风险防范措施提供标准依据，也为各级卫生健康行政部门和民族医药主管部门充分运用信息化等手段加强对瑶浴病房的事中事后监管，保证医疗质量，防范医疗风险提供依据。 </w:t>
      </w:r>
    </w:p>
    <w:p>
      <w:pPr>
        <w:pStyle w:val="11"/>
        <w:numPr>
          <w:ilvl w:val="0"/>
          <w:numId w:val="3"/>
        </w:numPr>
        <w:ind w:firstLineChars="0"/>
        <w:rPr>
          <w:rFonts w:ascii="黑体" w:hAnsi="黑体" w:eastAsia="黑体"/>
          <w:sz w:val="28"/>
          <w:szCs w:val="28"/>
        </w:rPr>
      </w:pPr>
      <w:r>
        <w:rPr>
          <w:rFonts w:hint="eastAsia" w:ascii="黑体" w:hAnsi="黑体" w:eastAsia="黑体"/>
          <w:sz w:val="28"/>
          <w:szCs w:val="28"/>
        </w:rPr>
        <w:t>标准中涉及专利情况</w:t>
      </w:r>
    </w:p>
    <w:p>
      <w:pPr>
        <w:spacing w:line="360" w:lineRule="auto"/>
        <w:ind w:firstLine="700" w:firstLineChars="250"/>
        <w:jc w:val="left"/>
        <w:rPr>
          <w:rFonts w:ascii="仿宋_GB2312" w:eastAsia="仿宋_GB2312" w:hAnsiTheme="minorEastAsia"/>
          <w:sz w:val="28"/>
          <w:szCs w:val="28"/>
        </w:rPr>
      </w:pPr>
      <w:r>
        <w:rPr>
          <w:rFonts w:hint="eastAsia" w:ascii="仿宋_GB2312" w:eastAsia="仿宋_GB2312" w:hAnsiTheme="minorEastAsia"/>
          <w:sz w:val="28"/>
          <w:szCs w:val="28"/>
        </w:rPr>
        <w:t>无</w:t>
      </w:r>
    </w:p>
    <w:p>
      <w:pPr>
        <w:pStyle w:val="11"/>
        <w:numPr>
          <w:ilvl w:val="0"/>
          <w:numId w:val="3"/>
        </w:numPr>
        <w:ind w:firstLineChars="0"/>
        <w:rPr>
          <w:rFonts w:ascii="黑体" w:hAnsi="黑体" w:eastAsia="黑体"/>
          <w:sz w:val="28"/>
          <w:szCs w:val="28"/>
        </w:rPr>
      </w:pPr>
      <w:r>
        <w:rPr>
          <w:rFonts w:hint="eastAsia" w:ascii="黑体" w:hAnsi="黑体" w:eastAsia="黑体"/>
          <w:sz w:val="28"/>
          <w:szCs w:val="28"/>
        </w:rPr>
        <w:t>产业化情况</w:t>
      </w:r>
    </w:p>
    <w:p>
      <w:pPr>
        <w:spacing w:line="560" w:lineRule="exact"/>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药浴疗法操作简单方便，易学易用，无需特</w:t>
      </w:r>
      <w:r>
        <w:rPr>
          <w:rFonts w:hint="eastAsia" w:ascii="仿宋_GB2312" w:eastAsia="仿宋_GB2312" w:hAnsiTheme="minorEastAsia"/>
          <w:sz w:val="28"/>
          <w:szCs w:val="28"/>
          <w:lang w:val="en-US" w:eastAsia="zh-CN"/>
        </w:rPr>
        <w:t>殊</w:t>
      </w:r>
      <w:r>
        <w:rPr>
          <w:rFonts w:hint="eastAsia" w:ascii="仿宋_GB2312" w:eastAsia="仿宋_GB2312" w:hAnsiTheme="minorEastAsia"/>
          <w:sz w:val="28"/>
          <w:szCs w:val="28"/>
        </w:rPr>
        <w:t>仪器和设备。洗浴与保健治疗于一体，且无痛苦、无疼痛。在治疗过程中还可以配合穴位按摩，起到加强治疗、缓解疲劳的作用。</w:t>
      </w:r>
    </w:p>
    <w:p>
      <w:pPr>
        <w:spacing w:line="560" w:lineRule="exact"/>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在药浴过程中，药物通过体表皮肤从外吸收，药用成分在血液中浓度低，可以避免药物口服时对口腔黏膜和消化道的直接刺激，还能避免药物对肝、肾等重要器官的毒害。</w:t>
      </w:r>
    </w:p>
    <w:p>
      <w:pPr>
        <w:spacing w:line="560" w:lineRule="exact"/>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中国民族医药协会团体标准《瑶浴病房建设与管理指南》的</w:t>
      </w:r>
      <w:r>
        <w:rPr>
          <w:rFonts w:hint="eastAsia" w:ascii="仿宋_GB2312" w:eastAsia="仿宋_GB2312" w:hAnsiTheme="minorEastAsia"/>
          <w:sz w:val="28"/>
          <w:szCs w:val="28"/>
          <w:highlight w:val="none"/>
          <w:lang w:val="en-US" w:eastAsia="zh-CN"/>
        </w:rPr>
        <w:t>编</w:t>
      </w:r>
      <w:r>
        <w:rPr>
          <w:rFonts w:hint="eastAsia" w:ascii="仿宋_GB2312" w:eastAsia="仿宋_GB2312" w:hAnsiTheme="minorEastAsia"/>
          <w:sz w:val="28"/>
          <w:szCs w:val="28"/>
          <w:highlight w:val="none"/>
        </w:rPr>
        <w:t>制，</w:t>
      </w:r>
      <w:r>
        <w:rPr>
          <w:rFonts w:hint="eastAsia" w:ascii="仿宋_GB2312" w:eastAsia="仿宋_GB2312" w:hAnsiTheme="minorEastAsia"/>
          <w:sz w:val="28"/>
          <w:szCs w:val="28"/>
        </w:rPr>
        <w:t>将更好的打造瑶浴疗法的特色品牌,继续发挥瑶浴疗法品牌效应，使</w:t>
      </w:r>
      <w:bookmarkStart w:id="0" w:name="_GoBack"/>
      <w:bookmarkEnd w:id="0"/>
      <w:r>
        <w:rPr>
          <w:rFonts w:hint="eastAsia" w:ascii="仿宋_GB2312" w:eastAsia="仿宋_GB2312" w:hAnsiTheme="minorEastAsia"/>
          <w:sz w:val="28"/>
          <w:szCs w:val="28"/>
        </w:rPr>
        <w:t>瑶浴疗法过程标准化、可控化，推动瑶医药特色优势的发挥。</w:t>
      </w:r>
    </w:p>
    <w:p>
      <w:pPr>
        <w:spacing w:line="560" w:lineRule="exact"/>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本文件旨在规范瑶浴病房建设与管理，拓展瑶浴服务能力，为人民群众提供安全、有效的瑶浴疗法，同时为行业主管部门科学评价瑶浴疗法服务能力提供参考。</w:t>
      </w:r>
    </w:p>
    <w:p>
      <w:pPr>
        <w:spacing w:line="560" w:lineRule="exact"/>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后期产业化预期，</w:t>
      </w:r>
      <w:r>
        <w:rPr>
          <w:rFonts w:ascii="仿宋_GB2312" w:eastAsia="仿宋_GB2312" w:hAnsiTheme="minorEastAsia"/>
          <w:sz w:val="28"/>
          <w:szCs w:val="28"/>
        </w:rPr>
        <w:t>瑶浴疗法</w:t>
      </w:r>
      <w:r>
        <w:rPr>
          <w:rFonts w:hint="eastAsia" w:ascii="仿宋_GB2312" w:eastAsia="仿宋_GB2312" w:hAnsiTheme="minorEastAsia"/>
          <w:sz w:val="28"/>
          <w:szCs w:val="28"/>
        </w:rPr>
        <w:t>已在我国大部分医院开展应用，在此基础上制定《瑶浴病房建设与管理指南》，将更好地发挥</w:t>
      </w:r>
      <w:r>
        <w:rPr>
          <w:rFonts w:ascii="仿宋_GB2312" w:eastAsia="仿宋_GB2312" w:hAnsiTheme="minorEastAsia"/>
          <w:sz w:val="28"/>
          <w:szCs w:val="28"/>
        </w:rPr>
        <w:t>瑶浴疗法</w:t>
      </w:r>
      <w:r>
        <w:rPr>
          <w:rFonts w:hint="eastAsia" w:ascii="仿宋_GB2312" w:eastAsia="仿宋_GB2312" w:hAnsiTheme="minorEastAsia"/>
          <w:sz w:val="28"/>
          <w:szCs w:val="28"/>
        </w:rPr>
        <w:t>在各级各类医院的规范的开展应用。</w:t>
      </w:r>
    </w:p>
    <w:p>
      <w:pPr>
        <w:spacing w:line="560" w:lineRule="exact"/>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同时，在人们普遍重视健康保健的今天，瑶浴有着更加广阔的应用前景，在人们的日常养生保健、防病治病中也必将发挥更加重要的作用。</w:t>
      </w:r>
    </w:p>
    <w:p>
      <w:pPr>
        <w:pStyle w:val="11"/>
        <w:numPr>
          <w:ilvl w:val="0"/>
          <w:numId w:val="3"/>
        </w:numPr>
        <w:spacing w:before="156" w:beforeLines="50" w:after="156" w:afterLines="50"/>
        <w:ind w:firstLineChars="0"/>
        <w:jc w:val="left"/>
        <w:rPr>
          <w:rFonts w:ascii="黑体" w:hAnsi="黑体" w:eastAsia="黑体"/>
          <w:sz w:val="28"/>
          <w:szCs w:val="28"/>
        </w:rPr>
      </w:pPr>
      <w:r>
        <w:rPr>
          <w:rFonts w:hint="eastAsia" w:ascii="黑体" w:hAnsi="黑体" w:eastAsia="黑体"/>
          <w:sz w:val="28"/>
          <w:szCs w:val="28"/>
        </w:rPr>
        <w:t>与相关国家标准、行业标准及其他标准，特别是强制性标准的协调性</w:t>
      </w:r>
    </w:p>
    <w:p>
      <w:pPr>
        <w:spacing w:line="360" w:lineRule="auto"/>
        <w:ind w:firstLine="560" w:firstLineChars="200"/>
        <w:jc w:val="left"/>
        <w:rPr>
          <w:rFonts w:ascii="仿宋_GB2312" w:eastAsia="仿宋_GB2312" w:hAnsiTheme="minorEastAsia"/>
          <w:sz w:val="28"/>
          <w:szCs w:val="28"/>
        </w:rPr>
      </w:pPr>
      <w:r>
        <w:rPr>
          <w:rFonts w:hint="eastAsia" w:ascii="仿宋_GB2312" w:eastAsia="仿宋_GB2312" w:hAnsiTheme="minorEastAsia"/>
          <w:sz w:val="28"/>
          <w:szCs w:val="28"/>
        </w:rPr>
        <w:t>本标准的编制符合瑶浴相关的政策法规要求，并以相关标准为依据，与标准要求相一致协调。</w:t>
      </w:r>
    </w:p>
    <w:p>
      <w:pPr>
        <w:pStyle w:val="11"/>
        <w:numPr>
          <w:ilvl w:val="0"/>
          <w:numId w:val="3"/>
        </w:numPr>
        <w:ind w:firstLineChars="0"/>
        <w:rPr>
          <w:rFonts w:ascii="黑体" w:hAnsi="黑体" w:eastAsia="黑体"/>
          <w:sz w:val="28"/>
          <w:szCs w:val="28"/>
        </w:rPr>
      </w:pPr>
      <w:r>
        <w:rPr>
          <w:rFonts w:hint="eastAsia" w:ascii="黑体" w:hAnsi="黑体" w:eastAsia="黑体"/>
          <w:sz w:val="28"/>
          <w:szCs w:val="28"/>
        </w:rPr>
        <w:t>重大意见分歧的处理依据和结果</w:t>
      </w:r>
    </w:p>
    <w:p>
      <w:pPr>
        <w:pStyle w:val="11"/>
        <w:spacing w:line="360" w:lineRule="auto"/>
        <w:ind w:left="720" w:firstLine="0" w:firstLineChars="0"/>
        <w:jc w:val="left"/>
        <w:rPr>
          <w:rFonts w:ascii="仿宋_GB2312" w:eastAsia="仿宋_GB2312" w:hAnsiTheme="minorEastAsia"/>
          <w:sz w:val="28"/>
          <w:szCs w:val="28"/>
        </w:rPr>
      </w:pPr>
      <w:r>
        <w:rPr>
          <w:rFonts w:hint="eastAsia" w:ascii="仿宋_GB2312" w:eastAsia="仿宋_GB2312" w:hAnsiTheme="minorEastAsia"/>
          <w:sz w:val="28"/>
          <w:szCs w:val="28"/>
        </w:rPr>
        <w:t>无。</w:t>
      </w:r>
    </w:p>
    <w:p>
      <w:pPr>
        <w:pStyle w:val="11"/>
        <w:numPr>
          <w:ilvl w:val="0"/>
          <w:numId w:val="3"/>
        </w:numPr>
        <w:spacing w:before="156" w:beforeLines="50" w:after="156" w:afterLines="50"/>
        <w:ind w:firstLineChars="0"/>
        <w:jc w:val="left"/>
        <w:rPr>
          <w:rFonts w:ascii="黑体" w:hAnsi="黑体" w:eastAsia="黑体"/>
          <w:sz w:val="28"/>
          <w:szCs w:val="28"/>
        </w:rPr>
      </w:pPr>
      <w:r>
        <w:rPr>
          <w:rFonts w:hint="eastAsia" w:ascii="黑体" w:hAnsi="黑体" w:eastAsia="黑体"/>
          <w:sz w:val="28"/>
          <w:szCs w:val="28"/>
        </w:rPr>
        <w:t>贯彻标准的要求和措施建议</w:t>
      </w:r>
    </w:p>
    <w:p>
      <w:pPr>
        <w:spacing w:line="360" w:lineRule="auto"/>
        <w:ind w:firstLine="560" w:firstLineChars="200"/>
        <w:jc w:val="left"/>
        <w:rPr>
          <w:rFonts w:ascii="仿宋_GB2312" w:eastAsia="仿宋_GB2312" w:hAnsiTheme="minorEastAsia"/>
          <w:sz w:val="28"/>
          <w:szCs w:val="28"/>
        </w:rPr>
      </w:pPr>
      <w:r>
        <w:rPr>
          <w:rFonts w:hint="eastAsia" w:ascii="仿宋_GB2312" w:eastAsia="仿宋_GB2312" w:hAnsiTheme="minorEastAsia"/>
          <w:sz w:val="28"/>
          <w:szCs w:val="28"/>
        </w:rPr>
        <w:t>本标准发布后，对世界中医药联合会苗侗瑶医药专业委员会及中国民族医药协会进行宣贯及培训。</w:t>
      </w:r>
      <w:r>
        <w:rPr>
          <w:rFonts w:ascii="仿宋_GB2312" w:eastAsia="仿宋_GB2312" w:hAnsiTheme="minorEastAsia"/>
          <w:sz w:val="28"/>
          <w:szCs w:val="28"/>
        </w:rPr>
        <w:t xml:space="preserve"> </w:t>
      </w:r>
    </w:p>
    <w:p>
      <w:pPr>
        <w:spacing w:line="360" w:lineRule="auto"/>
        <w:ind w:right="480"/>
        <w:jc w:val="right"/>
        <w:rPr>
          <w:rFonts w:ascii="仿宋_GB2312" w:eastAsia="仿宋_GB2312" w:hAnsiTheme="minorEastAsia"/>
          <w:sz w:val="28"/>
          <w:szCs w:val="28"/>
        </w:rPr>
      </w:pPr>
    </w:p>
    <w:p>
      <w:pPr>
        <w:spacing w:line="360" w:lineRule="auto"/>
        <w:ind w:right="480"/>
        <w:jc w:val="right"/>
        <w:rPr>
          <w:rFonts w:ascii="仿宋_GB2312" w:eastAsia="仿宋_GB2312" w:hAnsiTheme="minorEastAsia"/>
          <w:sz w:val="28"/>
          <w:szCs w:val="28"/>
        </w:rPr>
      </w:pPr>
    </w:p>
    <w:p>
      <w:pPr>
        <w:wordWrap w:val="0"/>
        <w:spacing w:line="360" w:lineRule="auto"/>
        <w:ind w:right="480"/>
        <w:jc w:val="right"/>
        <w:rPr>
          <w:rFonts w:ascii="仿宋_GB2312" w:eastAsia="仿宋_GB2312" w:hAnsiTheme="minorEastAsia"/>
          <w:sz w:val="28"/>
          <w:szCs w:val="28"/>
        </w:rPr>
      </w:pPr>
      <w:r>
        <w:rPr>
          <w:rFonts w:hint="eastAsia" w:ascii="仿宋_GB2312" w:eastAsia="仿宋_GB2312" w:hAnsiTheme="minorEastAsia"/>
          <w:sz w:val="28"/>
          <w:szCs w:val="28"/>
        </w:rPr>
        <w:t xml:space="preserve">     标准编制工作组</w:t>
      </w:r>
    </w:p>
    <w:p>
      <w:pPr>
        <w:spacing w:line="360" w:lineRule="auto"/>
        <w:jc w:val="center"/>
        <w:rPr>
          <w:rFonts w:eastAsia="仿宋_GB2312"/>
        </w:rPr>
      </w:pPr>
      <w:r>
        <w:rPr>
          <w:rFonts w:hint="eastAsia" w:ascii="仿宋_GB2312" w:eastAsia="仿宋_GB2312" w:hAnsiTheme="minorEastAsia"/>
          <w:sz w:val="28"/>
          <w:szCs w:val="28"/>
        </w:rPr>
        <w:t xml:space="preserve">                                    2024年5月29日  </w:t>
      </w:r>
    </w:p>
    <w:sectPr>
      <w:footerReference r:id="rId3" w:type="default"/>
      <w:pgSz w:w="11906" w:h="16838"/>
      <w:pgMar w:top="1440" w:right="1800" w:bottom="1440" w:left="1800"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微软雅黑"/>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14780"/>
    </w:sdtPr>
    <w:sdtContent>
      <w:p>
        <w:pPr>
          <w:pStyle w:val="4"/>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52706D"/>
    <w:multiLevelType w:val="multilevel"/>
    <w:tmpl w:val="1652706D"/>
    <w:lvl w:ilvl="0" w:tentative="0">
      <w:start w:val="1"/>
      <w:numFmt w:val="japaneseCounting"/>
      <w:lvlText w:val="（%1）"/>
      <w:lvlJc w:val="left"/>
      <w:pPr>
        <w:ind w:left="1380" w:hanging="108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1">
    <w:nsid w:val="367B58F7"/>
    <w:multiLevelType w:val="multilevel"/>
    <w:tmpl w:val="367B58F7"/>
    <w:lvl w:ilvl="0" w:tentative="0">
      <w:start w:val="2"/>
      <w:numFmt w:val="japaneseCount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402D4357"/>
    <w:multiLevelType w:val="multilevel"/>
    <w:tmpl w:val="402D4357"/>
    <w:lvl w:ilvl="0" w:tentative="0">
      <w:start w:val="1"/>
      <w:numFmt w:val="japaneseCounting"/>
      <w:lvlText w:val="（%1）"/>
      <w:lvlJc w:val="left"/>
      <w:pPr>
        <w:ind w:left="1380" w:hanging="108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3">
    <w:nsid w:val="533863A3"/>
    <w:multiLevelType w:val="multilevel"/>
    <w:tmpl w:val="533863A3"/>
    <w:lvl w:ilvl="0" w:tentative="0">
      <w:start w:val="1"/>
      <w:numFmt w:val="japaneseCounting"/>
      <w:lvlText w:val="（%1）"/>
      <w:lvlJc w:val="left"/>
      <w:pPr>
        <w:ind w:left="1380" w:hanging="108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4">
    <w:nsid w:val="60B12950"/>
    <w:multiLevelType w:val="multilevel"/>
    <w:tmpl w:val="60B12950"/>
    <w:lvl w:ilvl="0" w:tentative="0">
      <w:start w:val="1"/>
      <w:numFmt w:val="japaneseCounting"/>
      <w:lvlText w:val="%1、"/>
      <w:lvlJc w:val="left"/>
      <w:pPr>
        <w:ind w:left="720" w:hanging="7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25525A2"/>
    <w:multiLevelType w:val="multilevel"/>
    <w:tmpl w:val="625525A2"/>
    <w:lvl w:ilvl="0" w:tentative="0">
      <w:start w:val="1"/>
      <w:numFmt w:val="japaneseCounting"/>
      <w:lvlText w:val="（%1）"/>
      <w:lvlJc w:val="left"/>
      <w:pPr>
        <w:ind w:left="1380" w:hanging="108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M5YzgxZDFmMDc4Y2E5NDQ5NWZlMDliYzNjZWE0NmMifQ=="/>
  </w:docVars>
  <w:rsids>
    <w:rsidRoot w:val="001B3A00"/>
    <w:rsid w:val="00000D0D"/>
    <w:rsid w:val="00004A80"/>
    <w:rsid w:val="00004D6D"/>
    <w:rsid w:val="00011307"/>
    <w:rsid w:val="0001388D"/>
    <w:rsid w:val="000154B2"/>
    <w:rsid w:val="000164D8"/>
    <w:rsid w:val="00020250"/>
    <w:rsid w:val="000244A5"/>
    <w:rsid w:val="000258BF"/>
    <w:rsid w:val="00025930"/>
    <w:rsid w:val="00025B1B"/>
    <w:rsid w:val="00030B2F"/>
    <w:rsid w:val="000339CE"/>
    <w:rsid w:val="000345D5"/>
    <w:rsid w:val="00036401"/>
    <w:rsid w:val="00041D4F"/>
    <w:rsid w:val="00043A31"/>
    <w:rsid w:val="00044CEA"/>
    <w:rsid w:val="00051352"/>
    <w:rsid w:val="00056F34"/>
    <w:rsid w:val="00064884"/>
    <w:rsid w:val="00064F5B"/>
    <w:rsid w:val="00065323"/>
    <w:rsid w:val="00066512"/>
    <w:rsid w:val="00067D9A"/>
    <w:rsid w:val="000706E1"/>
    <w:rsid w:val="00071535"/>
    <w:rsid w:val="000737B8"/>
    <w:rsid w:val="00073F1A"/>
    <w:rsid w:val="000757E1"/>
    <w:rsid w:val="000775EC"/>
    <w:rsid w:val="000804F5"/>
    <w:rsid w:val="0008099B"/>
    <w:rsid w:val="00083B5F"/>
    <w:rsid w:val="00085E9C"/>
    <w:rsid w:val="0009048A"/>
    <w:rsid w:val="00093C8A"/>
    <w:rsid w:val="000956CB"/>
    <w:rsid w:val="000975F3"/>
    <w:rsid w:val="00097FD1"/>
    <w:rsid w:val="000A13B3"/>
    <w:rsid w:val="000A2F40"/>
    <w:rsid w:val="000A311B"/>
    <w:rsid w:val="000A4F00"/>
    <w:rsid w:val="000A7109"/>
    <w:rsid w:val="000B0F22"/>
    <w:rsid w:val="000C0D5F"/>
    <w:rsid w:val="000C26B5"/>
    <w:rsid w:val="000C2DC9"/>
    <w:rsid w:val="000C5CE5"/>
    <w:rsid w:val="000C5FBA"/>
    <w:rsid w:val="000C65FA"/>
    <w:rsid w:val="000E2C08"/>
    <w:rsid w:val="000E3DE1"/>
    <w:rsid w:val="000E681E"/>
    <w:rsid w:val="000E78B2"/>
    <w:rsid w:val="000F4B30"/>
    <w:rsid w:val="000F4F56"/>
    <w:rsid w:val="000F518B"/>
    <w:rsid w:val="000F79F1"/>
    <w:rsid w:val="00100968"/>
    <w:rsid w:val="001016D7"/>
    <w:rsid w:val="0010567D"/>
    <w:rsid w:val="00106531"/>
    <w:rsid w:val="00114234"/>
    <w:rsid w:val="00116145"/>
    <w:rsid w:val="00116176"/>
    <w:rsid w:val="00116BC5"/>
    <w:rsid w:val="00116E3D"/>
    <w:rsid w:val="00117416"/>
    <w:rsid w:val="00121816"/>
    <w:rsid w:val="001218B0"/>
    <w:rsid w:val="00121A7C"/>
    <w:rsid w:val="00122504"/>
    <w:rsid w:val="00122612"/>
    <w:rsid w:val="00123333"/>
    <w:rsid w:val="00123BC0"/>
    <w:rsid w:val="00125243"/>
    <w:rsid w:val="00125764"/>
    <w:rsid w:val="00125B77"/>
    <w:rsid w:val="001265A3"/>
    <w:rsid w:val="0012783D"/>
    <w:rsid w:val="00130155"/>
    <w:rsid w:val="0013685F"/>
    <w:rsid w:val="00136BC6"/>
    <w:rsid w:val="00140024"/>
    <w:rsid w:val="00140510"/>
    <w:rsid w:val="00140755"/>
    <w:rsid w:val="001438E4"/>
    <w:rsid w:val="00143B00"/>
    <w:rsid w:val="00145DA7"/>
    <w:rsid w:val="00147934"/>
    <w:rsid w:val="00151A2B"/>
    <w:rsid w:val="0015304E"/>
    <w:rsid w:val="00155C43"/>
    <w:rsid w:val="00156FEE"/>
    <w:rsid w:val="00157A07"/>
    <w:rsid w:val="00157BEB"/>
    <w:rsid w:val="00160259"/>
    <w:rsid w:val="001608A1"/>
    <w:rsid w:val="00160BF9"/>
    <w:rsid w:val="00162732"/>
    <w:rsid w:val="0016696E"/>
    <w:rsid w:val="00173BB8"/>
    <w:rsid w:val="00173C38"/>
    <w:rsid w:val="0018557D"/>
    <w:rsid w:val="00185BBF"/>
    <w:rsid w:val="001902DC"/>
    <w:rsid w:val="001906B9"/>
    <w:rsid w:val="0019109B"/>
    <w:rsid w:val="001916B6"/>
    <w:rsid w:val="0019276C"/>
    <w:rsid w:val="00194F1E"/>
    <w:rsid w:val="00197E43"/>
    <w:rsid w:val="001A14D1"/>
    <w:rsid w:val="001A398D"/>
    <w:rsid w:val="001A3F76"/>
    <w:rsid w:val="001A69DE"/>
    <w:rsid w:val="001B0241"/>
    <w:rsid w:val="001B3A00"/>
    <w:rsid w:val="001B579D"/>
    <w:rsid w:val="001B72D3"/>
    <w:rsid w:val="001B7DF2"/>
    <w:rsid w:val="001C2287"/>
    <w:rsid w:val="001C23DC"/>
    <w:rsid w:val="001C3CAA"/>
    <w:rsid w:val="001D35A2"/>
    <w:rsid w:val="001D5C3E"/>
    <w:rsid w:val="001D5DFD"/>
    <w:rsid w:val="001D6B1B"/>
    <w:rsid w:val="001E0D58"/>
    <w:rsid w:val="001E1711"/>
    <w:rsid w:val="001E31EA"/>
    <w:rsid w:val="001E6421"/>
    <w:rsid w:val="001F360B"/>
    <w:rsid w:val="001F56DE"/>
    <w:rsid w:val="00204164"/>
    <w:rsid w:val="00205D3D"/>
    <w:rsid w:val="0021454D"/>
    <w:rsid w:val="0021470B"/>
    <w:rsid w:val="002152E8"/>
    <w:rsid w:val="00220402"/>
    <w:rsid w:val="00225592"/>
    <w:rsid w:val="00235145"/>
    <w:rsid w:val="00240ACB"/>
    <w:rsid w:val="0024113A"/>
    <w:rsid w:val="002423F2"/>
    <w:rsid w:val="0024736A"/>
    <w:rsid w:val="002531F2"/>
    <w:rsid w:val="00253ED4"/>
    <w:rsid w:val="00257A86"/>
    <w:rsid w:val="0026329C"/>
    <w:rsid w:val="0026351B"/>
    <w:rsid w:val="00270B03"/>
    <w:rsid w:val="002755D5"/>
    <w:rsid w:val="002756F4"/>
    <w:rsid w:val="00275FB5"/>
    <w:rsid w:val="0028773E"/>
    <w:rsid w:val="00287A7F"/>
    <w:rsid w:val="00291055"/>
    <w:rsid w:val="002937EC"/>
    <w:rsid w:val="002958D1"/>
    <w:rsid w:val="002A04F6"/>
    <w:rsid w:val="002A204E"/>
    <w:rsid w:val="002A2C0E"/>
    <w:rsid w:val="002A6564"/>
    <w:rsid w:val="002B6E9D"/>
    <w:rsid w:val="002C07A9"/>
    <w:rsid w:val="002C2609"/>
    <w:rsid w:val="002C2A72"/>
    <w:rsid w:val="002C3FD3"/>
    <w:rsid w:val="002C61D8"/>
    <w:rsid w:val="002D2AD8"/>
    <w:rsid w:val="002D38C2"/>
    <w:rsid w:val="002D634D"/>
    <w:rsid w:val="002D76C4"/>
    <w:rsid w:val="002E494A"/>
    <w:rsid w:val="002E6003"/>
    <w:rsid w:val="002F2575"/>
    <w:rsid w:val="002F3F4E"/>
    <w:rsid w:val="002F6BE9"/>
    <w:rsid w:val="002F7079"/>
    <w:rsid w:val="0030184D"/>
    <w:rsid w:val="00302AC8"/>
    <w:rsid w:val="003064B2"/>
    <w:rsid w:val="00306679"/>
    <w:rsid w:val="00312D3E"/>
    <w:rsid w:val="00313B90"/>
    <w:rsid w:val="003160B3"/>
    <w:rsid w:val="00320211"/>
    <w:rsid w:val="003207BF"/>
    <w:rsid w:val="00321521"/>
    <w:rsid w:val="00324111"/>
    <w:rsid w:val="00325433"/>
    <w:rsid w:val="00332B4C"/>
    <w:rsid w:val="00336D5C"/>
    <w:rsid w:val="0033789A"/>
    <w:rsid w:val="00342C2F"/>
    <w:rsid w:val="0034366C"/>
    <w:rsid w:val="00343DD8"/>
    <w:rsid w:val="00344B36"/>
    <w:rsid w:val="0035190A"/>
    <w:rsid w:val="0035411E"/>
    <w:rsid w:val="00356BFB"/>
    <w:rsid w:val="00357BF4"/>
    <w:rsid w:val="00361FB7"/>
    <w:rsid w:val="00364285"/>
    <w:rsid w:val="0036543D"/>
    <w:rsid w:val="003666F2"/>
    <w:rsid w:val="00376AB1"/>
    <w:rsid w:val="003777E5"/>
    <w:rsid w:val="00380553"/>
    <w:rsid w:val="00380D61"/>
    <w:rsid w:val="003846C7"/>
    <w:rsid w:val="00397E7C"/>
    <w:rsid w:val="003A1094"/>
    <w:rsid w:val="003A130B"/>
    <w:rsid w:val="003A20D8"/>
    <w:rsid w:val="003A6757"/>
    <w:rsid w:val="003B04AB"/>
    <w:rsid w:val="003B0FF5"/>
    <w:rsid w:val="003B4D09"/>
    <w:rsid w:val="003B52F5"/>
    <w:rsid w:val="003D4B1F"/>
    <w:rsid w:val="003D5F5A"/>
    <w:rsid w:val="003D6BBE"/>
    <w:rsid w:val="003E0674"/>
    <w:rsid w:val="003E15BF"/>
    <w:rsid w:val="003E36DB"/>
    <w:rsid w:val="003E4B20"/>
    <w:rsid w:val="003E6110"/>
    <w:rsid w:val="003E61CF"/>
    <w:rsid w:val="003F30E1"/>
    <w:rsid w:val="003F62BC"/>
    <w:rsid w:val="003F69A4"/>
    <w:rsid w:val="00401D4E"/>
    <w:rsid w:val="00404DD2"/>
    <w:rsid w:val="0040577A"/>
    <w:rsid w:val="00405963"/>
    <w:rsid w:val="00406F03"/>
    <w:rsid w:val="00407D22"/>
    <w:rsid w:val="004108A4"/>
    <w:rsid w:val="00413689"/>
    <w:rsid w:val="00422350"/>
    <w:rsid w:val="00430E07"/>
    <w:rsid w:val="00430ED4"/>
    <w:rsid w:val="004364AA"/>
    <w:rsid w:val="00441EBF"/>
    <w:rsid w:val="004429DC"/>
    <w:rsid w:val="0044349E"/>
    <w:rsid w:val="00451F9D"/>
    <w:rsid w:val="00452144"/>
    <w:rsid w:val="00454316"/>
    <w:rsid w:val="0045682B"/>
    <w:rsid w:val="00456B16"/>
    <w:rsid w:val="004576E0"/>
    <w:rsid w:val="00460222"/>
    <w:rsid w:val="004641CE"/>
    <w:rsid w:val="00467CD9"/>
    <w:rsid w:val="00471537"/>
    <w:rsid w:val="0047241D"/>
    <w:rsid w:val="00474BB2"/>
    <w:rsid w:val="00477525"/>
    <w:rsid w:val="004834B0"/>
    <w:rsid w:val="0048413A"/>
    <w:rsid w:val="0048533A"/>
    <w:rsid w:val="00485FAF"/>
    <w:rsid w:val="00492F16"/>
    <w:rsid w:val="00494569"/>
    <w:rsid w:val="004A082C"/>
    <w:rsid w:val="004A21CA"/>
    <w:rsid w:val="004A2F8B"/>
    <w:rsid w:val="004A6901"/>
    <w:rsid w:val="004B00BC"/>
    <w:rsid w:val="004B4094"/>
    <w:rsid w:val="004B4BB1"/>
    <w:rsid w:val="004C042A"/>
    <w:rsid w:val="004C17E8"/>
    <w:rsid w:val="004C4430"/>
    <w:rsid w:val="004C478C"/>
    <w:rsid w:val="004C5342"/>
    <w:rsid w:val="004C63F2"/>
    <w:rsid w:val="004D1BDD"/>
    <w:rsid w:val="004D3487"/>
    <w:rsid w:val="004D3862"/>
    <w:rsid w:val="004D5FD3"/>
    <w:rsid w:val="004E7259"/>
    <w:rsid w:val="004E77CA"/>
    <w:rsid w:val="004E7FBD"/>
    <w:rsid w:val="004F093C"/>
    <w:rsid w:val="004F0AEF"/>
    <w:rsid w:val="004F420A"/>
    <w:rsid w:val="004F6318"/>
    <w:rsid w:val="004F6C1B"/>
    <w:rsid w:val="0050153E"/>
    <w:rsid w:val="00505FDD"/>
    <w:rsid w:val="00507205"/>
    <w:rsid w:val="00507E97"/>
    <w:rsid w:val="00510F5C"/>
    <w:rsid w:val="00511C91"/>
    <w:rsid w:val="00513E97"/>
    <w:rsid w:val="00515084"/>
    <w:rsid w:val="005155B9"/>
    <w:rsid w:val="00515B74"/>
    <w:rsid w:val="00517190"/>
    <w:rsid w:val="00521ADD"/>
    <w:rsid w:val="00522474"/>
    <w:rsid w:val="00525FCB"/>
    <w:rsid w:val="00527DCB"/>
    <w:rsid w:val="00532BBD"/>
    <w:rsid w:val="005354E2"/>
    <w:rsid w:val="00535928"/>
    <w:rsid w:val="00536ED5"/>
    <w:rsid w:val="00537B3F"/>
    <w:rsid w:val="00537CFE"/>
    <w:rsid w:val="00540EB9"/>
    <w:rsid w:val="00542BC3"/>
    <w:rsid w:val="00550B19"/>
    <w:rsid w:val="00551D5C"/>
    <w:rsid w:val="0055253A"/>
    <w:rsid w:val="00556581"/>
    <w:rsid w:val="00560370"/>
    <w:rsid w:val="00566815"/>
    <w:rsid w:val="00567A98"/>
    <w:rsid w:val="00567E2F"/>
    <w:rsid w:val="0057221A"/>
    <w:rsid w:val="005810F2"/>
    <w:rsid w:val="00583C1F"/>
    <w:rsid w:val="005873D6"/>
    <w:rsid w:val="00587E6D"/>
    <w:rsid w:val="00590917"/>
    <w:rsid w:val="005920E5"/>
    <w:rsid w:val="00594F7E"/>
    <w:rsid w:val="005A1658"/>
    <w:rsid w:val="005A4732"/>
    <w:rsid w:val="005B2749"/>
    <w:rsid w:val="005B452B"/>
    <w:rsid w:val="005B4C72"/>
    <w:rsid w:val="005B4F49"/>
    <w:rsid w:val="005C0856"/>
    <w:rsid w:val="005C2784"/>
    <w:rsid w:val="005C37C3"/>
    <w:rsid w:val="005C494E"/>
    <w:rsid w:val="005C7672"/>
    <w:rsid w:val="005D0D85"/>
    <w:rsid w:val="005D19D7"/>
    <w:rsid w:val="005D44CB"/>
    <w:rsid w:val="005D480B"/>
    <w:rsid w:val="005D71D0"/>
    <w:rsid w:val="005E0E02"/>
    <w:rsid w:val="005E191E"/>
    <w:rsid w:val="005E28BB"/>
    <w:rsid w:val="005E47C7"/>
    <w:rsid w:val="005F1EB8"/>
    <w:rsid w:val="005F52D6"/>
    <w:rsid w:val="00600853"/>
    <w:rsid w:val="006015DB"/>
    <w:rsid w:val="006050DA"/>
    <w:rsid w:val="00605760"/>
    <w:rsid w:val="00610154"/>
    <w:rsid w:val="00610C93"/>
    <w:rsid w:val="006145CB"/>
    <w:rsid w:val="00615816"/>
    <w:rsid w:val="00621689"/>
    <w:rsid w:val="00621FD9"/>
    <w:rsid w:val="0062627C"/>
    <w:rsid w:val="006268C9"/>
    <w:rsid w:val="00626A3B"/>
    <w:rsid w:val="00626B68"/>
    <w:rsid w:val="0062788F"/>
    <w:rsid w:val="00635E95"/>
    <w:rsid w:val="0063626E"/>
    <w:rsid w:val="006476F8"/>
    <w:rsid w:val="00650970"/>
    <w:rsid w:val="00651546"/>
    <w:rsid w:val="0065197E"/>
    <w:rsid w:val="0065796B"/>
    <w:rsid w:val="006625B0"/>
    <w:rsid w:val="006644DC"/>
    <w:rsid w:val="006717F6"/>
    <w:rsid w:val="00671F74"/>
    <w:rsid w:val="00675B7A"/>
    <w:rsid w:val="0067684F"/>
    <w:rsid w:val="0068077F"/>
    <w:rsid w:val="00681CD0"/>
    <w:rsid w:val="00682408"/>
    <w:rsid w:val="00682E04"/>
    <w:rsid w:val="00690C53"/>
    <w:rsid w:val="00691FF5"/>
    <w:rsid w:val="00692660"/>
    <w:rsid w:val="0069419B"/>
    <w:rsid w:val="0069620E"/>
    <w:rsid w:val="00696273"/>
    <w:rsid w:val="00696A91"/>
    <w:rsid w:val="006A00FB"/>
    <w:rsid w:val="006A06BD"/>
    <w:rsid w:val="006B05B7"/>
    <w:rsid w:val="006B1488"/>
    <w:rsid w:val="006B24B9"/>
    <w:rsid w:val="006C661A"/>
    <w:rsid w:val="006C6644"/>
    <w:rsid w:val="006D2008"/>
    <w:rsid w:val="006D32AD"/>
    <w:rsid w:val="006D71E6"/>
    <w:rsid w:val="006F4C0F"/>
    <w:rsid w:val="006F626C"/>
    <w:rsid w:val="006F76D9"/>
    <w:rsid w:val="006F7A76"/>
    <w:rsid w:val="00702BA2"/>
    <w:rsid w:val="00710A0E"/>
    <w:rsid w:val="00711FA6"/>
    <w:rsid w:val="00717004"/>
    <w:rsid w:val="00721E3F"/>
    <w:rsid w:val="00723A59"/>
    <w:rsid w:val="00724AB4"/>
    <w:rsid w:val="00724C89"/>
    <w:rsid w:val="00724FA7"/>
    <w:rsid w:val="0073129F"/>
    <w:rsid w:val="00736334"/>
    <w:rsid w:val="0073640F"/>
    <w:rsid w:val="00736E04"/>
    <w:rsid w:val="007424DD"/>
    <w:rsid w:val="00742FD5"/>
    <w:rsid w:val="007450C8"/>
    <w:rsid w:val="007457D3"/>
    <w:rsid w:val="0074646A"/>
    <w:rsid w:val="007573C0"/>
    <w:rsid w:val="00757821"/>
    <w:rsid w:val="00761557"/>
    <w:rsid w:val="0076236A"/>
    <w:rsid w:val="0076362E"/>
    <w:rsid w:val="00767DE8"/>
    <w:rsid w:val="00775BAD"/>
    <w:rsid w:val="0077636F"/>
    <w:rsid w:val="007764C0"/>
    <w:rsid w:val="00776E4B"/>
    <w:rsid w:val="007770CA"/>
    <w:rsid w:val="00780E31"/>
    <w:rsid w:val="00783AF8"/>
    <w:rsid w:val="00786AA7"/>
    <w:rsid w:val="00787771"/>
    <w:rsid w:val="00795C2B"/>
    <w:rsid w:val="00796FDF"/>
    <w:rsid w:val="007A1EA9"/>
    <w:rsid w:val="007B28AC"/>
    <w:rsid w:val="007B4259"/>
    <w:rsid w:val="007B48B8"/>
    <w:rsid w:val="007B554C"/>
    <w:rsid w:val="007B6EE7"/>
    <w:rsid w:val="007B7D9F"/>
    <w:rsid w:val="007C1C21"/>
    <w:rsid w:val="007C2861"/>
    <w:rsid w:val="007C4C6A"/>
    <w:rsid w:val="007C5C2F"/>
    <w:rsid w:val="007C5FB7"/>
    <w:rsid w:val="007D47ED"/>
    <w:rsid w:val="007D55BA"/>
    <w:rsid w:val="007D590A"/>
    <w:rsid w:val="007D6671"/>
    <w:rsid w:val="007D6C7D"/>
    <w:rsid w:val="007D6F84"/>
    <w:rsid w:val="007E150C"/>
    <w:rsid w:val="007E2E8C"/>
    <w:rsid w:val="007E40F2"/>
    <w:rsid w:val="007F103F"/>
    <w:rsid w:val="007F35BB"/>
    <w:rsid w:val="007F3AE0"/>
    <w:rsid w:val="007F4A55"/>
    <w:rsid w:val="0080186D"/>
    <w:rsid w:val="00802A86"/>
    <w:rsid w:val="008051A1"/>
    <w:rsid w:val="0080623E"/>
    <w:rsid w:val="008067BB"/>
    <w:rsid w:val="00810FE7"/>
    <w:rsid w:val="00812621"/>
    <w:rsid w:val="008131D5"/>
    <w:rsid w:val="008146CD"/>
    <w:rsid w:val="008179FA"/>
    <w:rsid w:val="00817DB0"/>
    <w:rsid w:val="0082179D"/>
    <w:rsid w:val="008259A6"/>
    <w:rsid w:val="008264B9"/>
    <w:rsid w:val="008270FC"/>
    <w:rsid w:val="00830190"/>
    <w:rsid w:val="00830E54"/>
    <w:rsid w:val="00831020"/>
    <w:rsid w:val="008374E1"/>
    <w:rsid w:val="00844F08"/>
    <w:rsid w:val="008452B7"/>
    <w:rsid w:val="00853343"/>
    <w:rsid w:val="00855796"/>
    <w:rsid w:val="00855C69"/>
    <w:rsid w:val="00860D62"/>
    <w:rsid w:val="008614A0"/>
    <w:rsid w:val="0086240E"/>
    <w:rsid w:val="008643B9"/>
    <w:rsid w:val="00865A97"/>
    <w:rsid w:val="00872EB4"/>
    <w:rsid w:val="00873A84"/>
    <w:rsid w:val="00877C20"/>
    <w:rsid w:val="00883FB5"/>
    <w:rsid w:val="00887984"/>
    <w:rsid w:val="00892089"/>
    <w:rsid w:val="0089219D"/>
    <w:rsid w:val="00896788"/>
    <w:rsid w:val="008A02A6"/>
    <w:rsid w:val="008A34F0"/>
    <w:rsid w:val="008A7D51"/>
    <w:rsid w:val="008A7F2D"/>
    <w:rsid w:val="008B154D"/>
    <w:rsid w:val="008B1900"/>
    <w:rsid w:val="008B1B60"/>
    <w:rsid w:val="008B56D8"/>
    <w:rsid w:val="008B5B8F"/>
    <w:rsid w:val="008C1083"/>
    <w:rsid w:val="008C33B9"/>
    <w:rsid w:val="008C467C"/>
    <w:rsid w:val="008C67D5"/>
    <w:rsid w:val="008C6FFB"/>
    <w:rsid w:val="008C78D4"/>
    <w:rsid w:val="008D02AB"/>
    <w:rsid w:val="008D5B3F"/>
    <w:rsid w:val="008D6E44"/>
    <w:rsid w:val="008E0039"/>
    <w:rsid w:val="008E1FC3"/>
    <w:rsid w:val="008E28AC"/>
    <w:rsid w:val="008F2267"/>
    <w:rsid w:val="008F6B42"/>
    <w:rsid w:val="008F73E6"/>
    <w:rsid w:val="0090052D"/>
    <w:rsid w:val="00902FA7"/>
    <w:rsid w:val="00903893"/>
    <w:rsid w:val="00912C1F"/>
    <w:rsid w:val="00913750"/>
    <w:rsid w:val="00921110"/>
    <w:rsid w:val="00921141"/>
    <w:rsid w:val="00927355"/>
    <w:rsid w:val="00930338"/>
    <w:rsid w:val="00940D9C"/>
    <w:rsid w:val="00946C12"/>
    <w:rsid w:val="00952D5B"/>
    <w:rsid w:val="0096464D"/>
    <w:rsid w:val="009662DE"/>
    <w:rsid w:val="00966DA6"/>
    <w:rsid w:val="00967460"/>
    <w:rsid w:val="00972795"/>
    <w:rsid w:val="00972B81"/>
    <w:rsid w:val="00972D91"/>
    <w:rsid w:val="00974425"/>
    <w:rsid w:val="00977A56"/>
    <w:rsid w:val="009852EC"/>
    <w:rsid w:val="0098657C"/>
    <w:rsid w:val="0098776C"/>
    <w:rsid w:val="00987868"/>
    <w:rsid w:val="0099030D"/>
    <w:rsid w:val="0099089A"/>
    <w:rsid w:val="00993138"/>
    <w:rsid w:val="009972B4"/>
    <w:rsid w:val="009A11F4"/>
    <w:rsid w:val="009A185C"/>
    <w:rsid w:val="009A21E9"/>
    <w:rsid w:val="009A3401"/>
    <w:rsid w:val="009A513D"/>
    <w:rsid w:val="009B081B"/>
    <w:rsid w:val="009B1303"/>
    <w:rsid w:val="009B4610"/>
    <w:rsid w:val="009B6E34"/>
    <w:rsid w:val="009B7267"/>
    <w:rsid w:val="009C0571"/>
    <w:rsid w:val="009C0793"/>
    <w:rsid w:val="009C2116"/>
    <w:rsid w:val="009C536F"/>
    <w:rsid w:val="009C5936"/>
    <w:rsid w:val="009C6FDD"/>
    <w:rsid w:val="009D0407"/>
    <w:rsid w:val="009D0A8B"/>
    <w:rsid w:val="009D14C4"/>
    <w:rsid w:val="009D23B3"/>
    <w:rsid w:val="009D5BAF"/>
    <w:rsid w:val="009D7B50"/>
    <w:rsid w:val="009E0AA7"/>
    <w:rsid w:val="009E138A"/>
    <w:rsid w:val="009E17A6"/>
    <w:rsid w:val="009E3B0D"/>
    <w:rsid w:val="009E5ACB"/>
    <w:rsid w:val="009E7ACD"/>
    <w:rsid w:val="009E7BD9"/>
    <w:rsid w:val="009F33EA"/>
    <w:rsid w:val="009F351E"/>
    <w:rsid w:val="009F6E54"/>
    <w:rsid w:val="00A05037"/>
    <w:rsid w:val="00A11720"/>
    <w:rsid w:val="00A154C8"/>
    <w:rsid w:val="00A15B64"/>
    <w:rsid w:val="00A16132"/>
    <w:rsid w:val="00A17BDF"/>
    <w:rsid w:val="00A20EEC"/>
    <w:rsid w:val="00A21547"/>
    <w:rsid w:val="00A227DC"/>
    <w:rsid w:val="00A246A4"/>
    <w:rsid w:val="00A32548"/>
    <w:rsid w:val="00A369B6"/>
    <w:rsid w:val="00A42A09"/>
    <w:rsid w:val="00A43264"/>
    <w:rsid w:val="00A459A8"/>
    <w:rsid w:val="00A46521"/>
    <w:rsid w:val="00A46AF9"/>
    <w:rsid w:val="00A5113B"/>
    <w:rsid w:val="00A5497F"/>
    <w:rsid w:val="00A61E77"/>
    <w:rsid w:val="00A62022"/>
    <w:rsid w:val="00A7093D"/>
    <w:rsid w:val="00A71047"/>
    <w:rsid w:val="00A77C77"/>
    <w:rsid w:val="00A814C8"/>
    <w:rsid w:val="00A831AF"/>
    <w:rsid w:val="00A84003"/>
    <w:rsid w:val="00A87323"/>
    <w:rsid w:val="00A87E03"/>
    <w:rsid w:val="00A93C8F"/>
    <w:rsid w:val="00A950C1"/>
    <w:rsid w:val="00A95286"/>
    <w:rsid w:val="00AA1C9D"/>
    <w:rsid w:val="00AA3913"/>
    <w:rsid w:val="00AA3F25"/>
    <w:rsid w:val="00AA51A9"/>
    <w:rsid w:val="00AA5FA6"/>
    <w:rsid w:val="00AA6538"/>
    <w:rsid w:val="00AA71A6"/>
    <w:rsid w:val="00AB2B6B"/>
    <w:rsid w:val="00AB2EBE"/>
    <w:rsid w:val="00AB2F7F"/>
    <w:rsid w:val="00AC1C4D"/>
    <w:rsid w:val="00AC399B"/>
    <w:rsid w:val="00AC3D27"/>
    <w:rsid w:val="00AC61C9"/>
    <w:rsid w:val="00AC6300"/>
    <w:rsid w:val="00AC6F38"/>
    <w:rsid w:val="00AD3129"/>
    <w:rsid w:val="00AD4B61"/>
    <w:rsid w:val="00AD6812"/>
    <w:rsid w:val="00AD6A8B"/>
    <w:rsid w:val="00AE53AD"/>
    <w:rsid w:val="00AE7564"/>
    <w:rsid w:val="00AF0560"/>
    <w:rsid w:val="00B01EF2"/>
    <w:rsid w:val="00B032FD"/>
    <w:rsid w:val="00B047A0"/>
    <w:rsid w:val="00B10F48"/>
    <w:rsid w:val="00B12C89"/>
    <w:rsid w:val="00B15E0A"/>
    <w:rsid w:val="00B21887"/>
    <w:rsid w:val="00B253FA"/>
    <w:rsid w:val="00B25711"/>
    <w:rsid w:val="00B25E8E"/>
    <w:rsid w:val="00B26349"/>
    <w:rsid w:val="00B273C9"/>
    <w:rsid w:val="00B3180F"/>
    <w:rsid w:val="00B32CE6"/>
    <w:rsid w:val="00B32E24"/>
    <w:rsid w:val="00B35F02"/>
    <w:rsid w:val="00B40444"/>
    <w:rsid w:val="00B40FBF"/>
    <w:rsid w:val="00B421BA"/>
    <w:rsid w:val="00B43067"/>
    <w:rsid w:val="00B43265"/>
    <w:rsid w:val="00B43871"/>
    <w:rsid w:val="00B45443"/>
    <w:rsid w:val="00B51722"/>
    <w:rsid w:val="00B565A0"/>
    <w:rsid w:val="00B565C6"/>
    <w:rsid w:val="00B6126D"/>
    <w:rsid w:val="00B61FFA"/>
    <w:rsid w:val="00B65F05"/>
    <w:rsid w:val="00B66201"/>
    <w:rsid w:val="00B72EBB"/>
    <w:rsid w:val="00B75603"/>
    <w:rsid w:val="00B8131D"/>
    <w:rsid w:val="00B81484"/>
    <w:rsid w:val="00B81DB2"/>
    <w:rsid w:val="00B83EC0"/>
    <w:rsid w:val="00B86DAE"/>
    <w:rsid w:val="00B90250"/>
    <w:rsid w:val="00B920FF"/>
    <w:rsid w:val="00B9414A"/>
    <w:rsid w:val="00B949D3"/>
    <w:rsid w:val="00B9533E"/>
    <w:rsid w:val="00BA1D31"/>
    <w:rsid w:val="00BA1D4E"/>
    <w:rsid w:val="00BA236F"/>
    <w:rsid w:val="00BA2F9D"/>
    <w:rsid w:val="00BA3C88"/>
    <w:rsid w:val="00BA4034"/>
    <w:rsid w:val="00BA6BE8"/>
    <w:rsid w:val="00BB36F7"/>
    <w:rsid w:val="00BB3755"/>
    <w:rsid w:val="00BB4163"/>
    <w:rsid w:val="00BB50AC"/>
    <w:rsid w:val="00BB5B60"/>
    <w:rsid w:val="00BC13D3"/>
    <w:rsid w:val="00BC2AC1"/>
    <w:rsid w:val="00BC3D4E"/>
    <w:rsid w:val="00BC5DA1"/>
    <w:rsid w:val="00BC6029"/>
    <w:rsid w:val="00BC667C"/>
    <w:rsid w:val="00BC715B"/>
    <w:rsid w:val="00BD266F"/>
    <w:rsid w:val="00BD5914"/>
    <w:rsid w:val="00BE39C2"/>
    <w:rsid w:val="00BE553B"/>
    <w:rsid w:val="00BE6457"/>
    <w:rsid w:val="00BF06D1"/>
    <w:rsid w:val="00BF08BF"/>
    <w:rsid w:val="00BF6180"/>
    <w:rsid w:val="00C01CD8"/>
    <w:rsid w:val="00C11DA4"/>
    <w:rsid w:val="00C1599F"/>
    <w:rsid w:val="00C1691E"/>
    <w:rsid w:val="00C218EE"/>
    <w:rsid w:val="00C24BBC"/>
    <w:rsid w:val="00C263E6"/>
    <w:rsid w:val="00C331E2"/>
    <w:rsid w:val="00C35039"/>
    <w:rsid w:val="00C35CF7"/>
    <w:rsid w:val="00C360AF"/>
    <w:rsid w:val="00C374A6"/>
    <w:rsid w:val="00C41AB0"/>
    <w:rsid w:val="00C43870"/>
    <w:rsid w:val="00C44B55"/>
    <w:rsid w:val="00C5096E"/>
    <w:rsid w:val="00C525C7"/>
    <w:rsid w:val="00C54627"/>
    <w:rsid w:val="00C54D9D"/>
    <w:rsid w:val="00C717CE"/>
    <w:rsid w:val="00C71FED"/>
    <w:rsid w:val="00C732AF"/>
    <w:rsid w:val="00C83D57"/>
    <w:rsid w:val="00C86F51"/>
    <w:rsid w:val="00C9213C"/>
    <w:rsid w:val="00C941CE"/>
    <w:rsid w:val="00C94D29"/>
    <w:rsid w:val="00C95B7B"/>
    <w:rsid w:val="00C96947"/>
    <w:rsid w:val="00CA5165"/>
    <w:rsid w:val="00CA67A1"/>
    <w:rsid w:val="00CA7975"/>
    <w:rsid w:val="00CB2437"/>
    <w:rsid w:val="00CB33C6"/>
    <w:rsid w:val="00CB5F00"/>
    <w:rsid w:val="00CB5F22"/>
    <w:rsid w:val="00CB67F7"/>
    <w:rsid w:val="00CC3A5C"/>
    <w:rsid w:val="00CC4B6F"/>
    <w:rsid w:val="00CC4C70"/>
    <w:rsid w:val="00CD25FE"/>
    <w:rsid w:val="00CD2762"/>
    <w:rsid w:val="00CD4ADF"/>
    <w:rsid w:val="00CD4CB3"/>
    <w:rsid w:val="00CE0777"/>
    <w:rsid w:val="00CE15C6"/>
    <w:rsid w:val="00CE624B"/>
    <w:rsid w:val="00CF4FC1"/>
    <w:rsid w:val="00D00760"/>
    <w:rsid w:val="00D02030"/>
    <w:rsid w:val="00D10F0B"/>
    <w:rsid w:val="00D1147A"/>
    <w:rsid w:val="00D12DD1"/>
    <w:rsid w:val="00D1356E"/>
    <w:rsid w:val="00D153BF"/>
    <w:rsid w:val="00D15B3D"/>
    <w:rsid w:val="00D161F3"/>
    <w:rsid w:val="00D16383"/>
    <w:rsid w:val="00D16B20"/>
    <w:rsid w:val="00D17842"/>
    <w:rsid w:val="00D23804"/>
    <w:rsid w:val="00D30BDC"/>
    <w:rsid w:val="00D312C7"/>
    <w:rsid w:val="00D3201A"/>
    <w:rsid w:val="00D32178"/>
    <w:rsid w:val="00D3248A"/>
    <w:rsid w:val="00D32624"/>
    <w:rsid w:val="00D40066"/>
    <w:rsid w:val="00D4397A"/>
    <w:rsid w:val="00D43D14"/>
    <w:rsid w:val="00D445DF"/>
    <w:rsid w:val="00D45D66"/>
    <w:rsid w:val="00D475A2"/>
    <w:rsid w:val="00D47892"/>
    <w:rsid w:val="00D50FBD"/>
    <w:rsid w:val="00D51667"/>
    <w:rsid w:val="00D5682C"/>
    <w:rsid w:val="00D57E3F"/>
    <w:rsid w:val="00D64809"/>
    <w:rsid w:val="00D74129"/>
    <w:rsid w:val="00D74E78"/>
    <w:rsid w:val="00D75318"/>
    <w:rsid w:val="00D75ECC"/>
    <w:rsid w:val="00D77A90"/>
    <w:rsid w:val="00D80DFB"/>
    <w:rsid w:val="00D810A2"/>
    <w:rsid w:val="00D82592"/>
    <w:rsid w:val="00DA107D"/>
    <w:rsid w:val="00DA1984"/>
    <w:rsid w:val="00DA1A6F"/>
    <w:rsid w:val="00DA2365"/>
    <w:rsid w:val="00DA3B5B"/>
    <w:rsid w:val="00DA3FF5"/>
    <w:rsid w:val="00DA4AF4"/>
    <w:rsid w:val="00DB4246"/>
    <w:rsid w:val="00DB4B9B"/>
    <w:rsid w:val="00DB78A7"/>
    <w:rsid w:val="00DC4060"/>
    <w:rsid w:val="00DC6181"/>
    <w:rsid w:val="00DD0367"/>
    <w:rsid w:val="00DD0558"/>
    <w:rsid w:val="00DE3576"/>
    <w:rsid w:val="00DE394A"/>
    <w:rsid w:val="00DE42E3"/>
    <w:rsid w:val="00DE4E43"/>
    <w:rsid w:val="00DE6CCE"/>
    <w:rsid w:val="00DE7BF6"/>
    <w:rsid w:val="00DF235F"/>
    <w:rsid w:val="00DF45EF"/>
    <w:rsid w:val="00E056A8"/>
    <w:rsid w:val="00E10806"/>
    <w:rsid w:val="00E12646"/>
    <w:rsid w:val="00E14143"/>
    <w:rsid w:val="00E16A0D"/>
    <w:rsid w:val="00E23EFE"/>
    <w:rsid w:val="00E241BF"/>
    <w:rsid w:val="00E24ADB"/>
    <w:rsid w:val="00E31A5B"/>
    <w:rsid w:val="00E3200C"/>
    <w:rsid w:val="00E339EC"/>
    <w:rsid w:val="00E3447F"/>
    <w:rsid w:val="00E34484"/>
    <w:rsid w:val="00E3627C"/>
    <w:rsid w:val="00E377E0"/>
    <w:rsid w:val="00E40B5B"/>
    <w:rsid w:val="00E4103E"/>
    <w:rsid w:val="00E432BC"/>
    <w:rsid w:val="00E46C0C"/>
    <w:rsid w:val="00E5002B"/>
    <w:rsid w:val="00E53678"/>
    <w:rsid w:val="00E5511F"/>
    <w:rsid w:val="00E5551C"/>
    <w:rsid w:val="00E5678F"/>
    <w:rsid w:val="00E56F47"/>
    <w:rsid w:val="00E65D76"/>
    <w:rsid w:val="00E665D9"/>
    <w:rsid w:val="00E67AD2"/>
    <w:rsid w:val="00E70144"/>
    <w:rsid w:val="00E7090A"/>
    <w:rsid w:val="00E84090"/>
    <w:rsid w:val="00E90330"/>
    <w:rsid w:val="00E91177"/>
    <w:rsid w:val="00E95757"/>
    <w:rsid w:val="00E96048"/>
    <w:rsid w:val="00EA0019"/>
    <w:rsid w:val="00EA1C93"/>
    <w:rsid w:val="00EA1FAB"/>
    <w:rsid w:val="00EA3873"/>
    <w:rsid w:val="00EA3E30"/>
    <w:rsid w:val="00EA4B07"/>
    <w:rsid w:val="00EA669E"/>
    <w:rsid w:val="00EB2A1F"/>
    <w:rsid w:val="00EB49FF"/>
    <w:rsid w:val="00EC21B8"/>
    <w:rsid w:val="00EC331E"/>
    <w:rsid w:val="00EC5BA3"/>
    <w:rsid w:val="00EC5D03"/>
    <w:rsid w:val="00EC76D8"/>
    <w:rsid w:val="00ED3AF2"/>
    <w:rsid w:val="00ED4E8E"/>
    <w:rsid w:val="00ED6BAC"/>
    <w:rsid w:val="00EE08A5"/>
    <w:rsid w:val="00EE0C46"/>
    <w:rsid w:val="00EF0DFB"/>
    <w:rsid w:val="00EF1446"/>
    <w:rsid w:val="00EF63BD"/>
    <w:rsid w:val="00F00127"/>
    <w:rsid w:val="00F01005"/>
    <w:rsid w:val="00F035AA"/>
    <w:rsid w:val="00F06EF5"/>
    <w:rsid w:val="00F1085C"/>
    <w:rsid w:val="00F122F9"/>
    <w:rsid w:val="00F16DFE"/>
    <w:rsid w:val="00F2114C"/>
    <w:rsid w:val="00F2149B"/>
    <w:rsid w:val="00F2538D"/>
    <w:rsid w:val="00F26DF1"/>
    <w:rsid w:val="00F26FD5"/>
    <w:rsid w:val="00F27128"/>
    <w:rsid w:val="00F27C06"/>
    <w:rsid w:val="00F32CFD"/>
    <w:rsid w:val="00F35A48"/>
    <w:rsid w:val="00F36295"/>
    <w:rsid w:val="00F46F0E"/>
    <w:rsid w:val="00F47DAE"/>
    <w:rsid w:val="00F5137D"/>
    <w:rsid w:val="00F521F5"/>
    <w:rsid w:val="00F52AE4"/>
    <w:rsid w:val="00F558C5"/>
    <w:rsid w:val="00F568D7"/>
    <w:rsid w:val="00F61AFC"/>
    <w:rsid w:val="00F61FB7"/>
    <w:rsid w:val="00F6376B"/>
    <w:rsid w:val="00F63E16"/>
    <w:rsid w:val="00F65D08"/>
    <w:rsid w:val="00F6761A"/>
    <w:rsid w:val="00F6789E"/>
    <w:rsid w:val="00F70F8F"/>
    <w:rsid w:val="00F81454"/>
    <w:rsid w:val="00F81EE4"/>
    <w:rsid w:val="00F83D2D"/>
    <w:rsid w:val="00F843A2"/>
    <w:rsid w:val="00F84F7F"/>
    <w:rsid w:val="00F86235"/>
    <w:rsid w:val="00F91560"/>
    <w:rsid w:val="00F93A2B"/>
    <w:rsid w:val="00FA0B31"/>
    <w:rsid w:val="00FA4FB2"/>
    <w:rsid w:val="00FA5BFC"/>
    <w:rsid w:val="00FB0118"/>
    <w:rsid w:val="00FB05E0"/>
    <w:rsid w:val="00FB0D26"/>
    <w:rsid w:val="00FB2790"/>
    <w:rsid w:val="00FB35B0"/>
    <w:rsid w:val="00FB69E1"/>
    <w:rsid w:val="00FB71F4"/>
    <w:rsid w:val="00FC04F2"/>
    <w:rsid w:val="00FC3B0C"/>
    <w:rsid w:val="00FC7EFE"/>
    <w:rsid w:val="00FD0CE5"/>
    <w:rsid w:val="00FD0F93"/>
    <w:rsid w:val="00FD18E9"/>
    <w:rsid w:val="00FD3EED"/>
    <w:rsid w:val="00FD4D24"/>
    <w:rsid w:val="00FD74CC"/>
    <w:rsid w:val="00FE3FC6"/>
    <w:rsid w:val="00FE4973"/>
    <w:rsid w:val="00FF0439"/>
    <w:rsid w:val="00FF1580"/>
    <w:rsid w:val="00FF2EDC"/>
    <w:rsid w:val="00FF54D6"/>
    <w:rsid w:val="00FF705E"/>
    <w:rsid w:val="02F04899"/>
    <w:rsid w:val="098B0CBC"/>
    <w:rsid w:val="180608FF"/>
    <w:rsid w:val="1C153734"/>
    <w:rsid w:val="47C85A9B"/>
    <w:rsid w:val="5EF947CB"/>
    <w:rsid w:val="69263136"/>
    <w:rsid w:val="6C14536A"/>
    <w:rsid w:val="711F0F93"/>
    <w:rsid w:val="7FD224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5"/>
    <w:semiHidden/>
    <w:unhideWhenUsed/>
    <w:uiPriority w:val="99"/>
    <w:pPr>
      <w:spacing w:after="120"/>
      <w:ind w:left="420" w:leftChars="200"/>
    </w:pPr>
  </w:style>
  <w:style w:type="paragraph" w:styleId="3">
    <w:name w:val="Balloon Text"/>
    <w:basedOn w:val="1"/>
    <w:link w:val="13"/>
    <w:semiHidden/>
    <w:unhideWhenUsed/>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link w:val="16"/>
    <w:unhideWhenUsed/>
    <w:qFormat/>
    <w:uiPriority w:val="0"/>
    <w:pPr>
      <w:ind w:firstLine="420" w:firstLineChars="200"/>
    </w:pPr>
    <w:rPr>
      <w:rFonts w:ascii="Calibri" w:hAnsi="Calibri" w:eastAsia="宋体" w:cs="Times New Roman"/>
      <w:szCs w:val="24"/>
    </w:rPr>
  </w:style>
  <w:style w:type="character" w:customStyle="1" w:styleId="9">
    <w:name w:val="页眉 字符"/>
    <w:basedOn w:val="8"/>
    <w:link w:val="5"/>
    <w:qFormat/>
    <w:uiPriority w:val="99"/>
    <w:rPr>
      <w:sz w:val="18"/>
      <w:szCs w:val="18"/>
    </w:rPr>
  </w:style>
  <w:style w:type="character" w:customStyle="1" w:styleId="10">
    <w:name w:val="页脚 字符"/>
    <w:basedOn w:val="8"/>
    <w:link w:val="4"/>
    <w:uiPriority w:val="99"/>
    <w:rPr>
      <w:sz w:val="18"/>
      <w:szCs w:val="18"/>
    </w:rPr>
  </w:style>
  <w:style w:type="paragraph" w:styleId="11">
    <w:name w:val="List Paragraph"/>
    <w:basedOn w:val="1"/>
    <w:qFormat/>
    <w:uiPriority w:val="34"/>
    <w:pPr>
      <w:ind w:firstLine="420" w:firstLineChars="200"/>
    </w:pPr>
  </w:style>
  <w:style w:type="paragraph" w:customStyle="1" w:styleId="12">
    <w:name w:val="段"/>
    <w:link w:val="14"/>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3">
    <w:name w:val="批注框文本 字符"/>
    <w:basedOn w:val="8"/>
    <w:link w:val="3"/>
    <w:semiHidden/>
    <w:qFormat/>
    <w:uiPriority w:val="99"/>
    <w:rPr>
      <w:kern w:val="2"/>
      <w:sz w:val="18"/>
      <w:szCs w:val="18"/>
    </w:rPr>
  </w:style>
  <w:style w:type="character" w:customStyle="1" w:styleId="14">
    <w:name w:val="段 Char"/>
    <w:link w:val="12"/>
    <w:qFormat/>
    <w:uiPriority w:val="0"/>
    <w:rPr>
      <w:rFonts w:ascii="宋体" w:hAnsi="Times New Roman" w:eastAsia="宋体" w:cs="Times New Roman"/>
      <w:sz w:val="21"/>
    </w:rPr>
  </w:style>
  <w:style w:type="character" w:customStyle="1" w:styleId="15">
    <w:name w:val="正文文本缩进 字符"/>
    <w:basedOn w:val="8"/>
    <w:link w:val="2"/>
    <w:semiHidden/>
    <w:uiPriority w:val="99"/>
    <w:rPr>
      <w:kern w:val="2"/>
      <w:sz w:val="21"/>
      <w:szCs w:val="22"/>
    </w:rPr>
  </w:style>
  <w:style w:type="character" w:customStyle="1" w:styleId="16">
    <w:name w:val="正文文本首行缩进 2 字符"/>
    <w:basedOn w:val="15"/>
    <w:link w:val="6"/>
    <w:uiPriority w:val="0"/>
    <w:rPr>
      <w:rFonts w:ascii="Calibri" w:hAnsi="Calibri" w:eastAsia="宋体" w:cs="Times New Roman"/>
      <w:kern w:val="2"/>
      <w:sz w:val="21"/>
      <w:szCs w:val="2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microsoft.com/office/2006/relationships/keyMapCustomizations" Target="customizations.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长沙市标准化协会</Company>
  <Pages>15</Pages>
  <Words>6632</Words>
  <Characters>6932</Characters>
  <Lines>51</Lines>
  <Paragraphs>14</Paragraphs>
  <TotalTime>117</TotalTime>
  <ScaleCrop>false</ScaleCrop>
  <LinksUpToDate>false</LinksUpToDate>
  <CharactersWithSpaces>7064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2022-05-17T00:39:00Z</dcterms:created>
  <dc:creator>Administrator</dc:creator>
  <cp:lastModifiedBy>bylxb</cp:lastModifiedBy>
  <dcterms:modified xsi:type="dcterms:W3CDTF">2024-06-12T04:10:03Z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C0F0D1C5B3EF416EB186D6314B8E74C7</vt:lpwstr>
  </property>
</Properties>
</file>